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color w:val="FF0000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color w:val="FF0000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color w:val="FF0000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color w:val="FF0000"/>
          <w:sz w:val="72"/>
          <w:szCs w:val="72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FF0000"/>
          <w:sz w:val="72"/>
          <w:szCs w:val="72"/>
          <w:lang w:val="en-US" w:eastAsia="zh-CN"/>
        </w:rPr>
        <w:t xml:space="preserve">海 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FF0000"/>
          <w:sz w:val="72"/>
          <w:szCs w:val="72"/>
          <w:lang w:val="en-US" w:eastAsia="zh-CN"/>
        </w:rPr>
        <w:t>南 省 财 政 厅</w:t>
      </w:r>
    </w:p>
    <w:p>
      <w:pPr>
        <w:jc w:val="center"/>
        <w:rPr>
          <w:rFonts w:hint="eastAsia" w:ascii="新宋体" w:hAnsi="新宋体" w:eastAsia="新宋体" w:cs="新宋体"/>
          <w:b/>
          <w:bCs/>
          <w:color w:val="FF0000"/>
          <w:sz w:val="72"/>
          <w:szCs w:val="7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FF0000"/>
          <w:sz w:val="72"/>
          <w:szCs w:val="72"/>
          <w:lang w:val="en-US" w:eastAsia="zh-CN"/>
        </w:rPr>
        <w:t>备案公告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2019年第18号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海南方知资产评估有限公司变更备案公告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海南方知资产评估有限公司变更备案有关材料收悉。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华人民共和国资产评估法》、《资产评估行业财政监督管理办法》（财政部令86号）及《财政部关于做好资产评估机构备案管理工作的通知》（财资[2017]26号）的有关规定，予以备案。变更备案的相关信息如下：</w:t>
      </w:r>
    </w:p>
    <w:p>
      <w:pPr>
        <w:ind w:firstLine="420" w:firstLineChars="200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5"/>
        <w:tblW w:w="8895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85"/>
        <w:gridCol w:w="919"/>
        <w:gridCol w:w="2006"/>
        <w:gridCol w:w="900"/>
        <w:gridCol w:w="183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项目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变更前情况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变更后情况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变更时间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8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执行合伙事项的合伙人（法定代表人）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陈奇文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王时值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2019.5.15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合伙人（股东）</w:t>
            </w: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出资（股权）比例（%）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出资（股权）比例（%）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2019.5.15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8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陈奇文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冯钊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8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王时值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王时值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11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8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王孝祥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王孝祥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相关信息已录入备案系统，可通过财政部、中国资产评估协会官方网站进行查询。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特此公告。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海南省财政厅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2019年6月19日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03EAB"/>
    <w:rsid w:val="485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2019-06-20T03:17:00Z</dcterms:created>
  <dc:creator>老熏茶</dc:creator>
  <cp:lastModifiedBy>老熏茶</cp:lastModifiedBy>
  <dcterms:modified xsi:type="dcterms:W3CDTF">2019-06-20T03:36:16Z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