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60"/>
        </w:tabs>
        <w:spacing w:line="360" w:lineRule="auto"/>
        <w:rPr>
          <w:rFonts w:ascii="黑体" w:hAnsi="黑体" w:eastAsia="黑体"/>
          <w:bCs/>
          <w:sz w:val="32"/>
          <w:szCs w:val="32"/>
        </w:rPr>
      </w:pPr>
      <w:bookmarkStart w:id="2" w:name="_GoBack"/>
      <w:bookmarkEnd w:id="2"/>
      <w:r>
        <w:rPr>
          <w:rFonts w:hint="eastAsia" w:ascii="黑体" w:hAnsi="黑体" w:eastAsia="黑体"/>
          <w:bCs/>
          <w:sz w:val="32"/>
          <w:szCs w:val="32"/>
        </w:rPr>
        <w:t>附件2</w:t>
      </w:r>
      <w:r>
        <w:rPr>
          <w:rFonts w:ascii="黑体" w:hAnsi="黑体" w:eastAsia="黑体"/>
          <w:bCs/>
          <w:sz w:val="32"/>
          <w:szCs w:val="32"/>
        </w:rPr>
        <w:tab/>
      </w:r>
    </w:p>
    <w:p>
      <w:pPr>
        <w:pStyle w:val="2"/>
        <w:spacing w:before="0" w:after="0" w:line="240" w:lineRule="auto"/>
        <w:jc w:val="center"/>
        <w:rPr>
          <w:rFonts w:ascii="方正小标宋简体" w:hAnsi="方正小标宋简体" w:eastAsia="方正小标宋简体"/>
          <w:b w:val="0"/>
          <w:bCs w:val="0"/>
        </w:rPr>
      </w:pPr>
    </w:p>
    <w:p>
      <w:pPr>
        <w:pStyle w:val="2"/>
        <w:spacing w:before="0" w:after="0" w:line="240" w:lineRule="auto"/>
        <w:jc w:val="center"/>
        <w:rPr>
          <w:rFonts w:ascii="方正小标宋简体" w:hAnsi="方正小标宋简体" w:eastAsia="方正小标宋简体"/>
          <w:b w:val="0"/>
          <w:bCs w:val="0"/>
        </w:rPr>
      </w:pPr>
      <w:r>
        <w:rPr>
          <w:rFonts w:hint="eastAsia" w:ascii="方正小标宋简体" w:hAnsi="方正小标宋简体" w:eastAsia="方正小标宋简体"/>
          <w:b w:val="0"/>
          <w:bCs w:val="0"/>
        </w:rPr>
        <w:t>《资产评估执业准则——知识产权</w:t>
      </w:r>
    </w:p>
    <w:p>
      <w:pPr>
        <w:pStyle w:val="2"/>
        <w:spacing w:before="0" w:after="0" w:line="240" w:lineRule="auto"/>
        <w:jc w:val="center"/>
        <w:rPr>
          <w:rFonts w:ascii="方正小标宋简体" w:hAnsi="方正小标宋简体" w:eastAsia="方正小标宋简体"/>
          <w:b w:val="0"/>
          <w:bCs w:val="0"/>
        </w:rPr>
      </w:pPr>
      <w:r>
        <w:rPr>
          <w:rFonts w:hint="eastAsia" w:ascii="方正小标宋简体" w:hAnsi="方正小标宋简体" w:eastAsia="方正小标宋简体"/>
          <w:b w:val="0"/>
          <w:bCs w:val="0"/>
        </w:rPr>
        <w:t>（征求意见稿）》起草说明</w:t>
      </w:r>
    </w:p>
    <w:p>
      <w:pPr>
        <w:rPr>
          <w:rFonts w:ascii="仿宋_GB2312" w:eastAsia="仿宋_GB2312"/>
          <w:sz w:val="32"/>
          <w:szCs w:val="40"/>
        </w:rPr>
      </w:pP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为规范知识产权资产评估行为，保护资产评估当事人合法权益和公共利益，中国资产评估协会组织起草了《资产评估执业准则——知识产权（征求意见稿）》。为方便相关方面理解本准则内容，现将有关起草情况说明如下。</w:t>
      </w:r>
    </w:p>
    <w:p>
      <w:pPr>
        <w:adjustRightInd w:val="0"/>
        <w:snapToGrid w:val="0"/>
        <w:spacing w:line="360" w:lineRule="auto"/>
        <w:ind w:firstLine="640" w:firstLineChars="200"/>
        <w:rPr>
          <w:rFonts w:ascii="仿宋_GB2312" w:hAnsi="仿宋" w:eastAsia="仿宋_GB2312"/>
          <w:sz w:val="32"/>
          <w:szCs w:val="32"/>
        </w:rPr>
      </w:pPr>
      <w:r>
        <w:rPr>
          <w:rFonts w:hint="eastAsia" w:ascii="黑体" w:hAnsi="黑体" w:eastAsia="黑体"/>
          <w:sz w:val="32"/>
          <w:szCs w:val="32"/>
        </w:rPr>
        <w:t>一、背景和意义</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资产评估在服务知识产权合资入股、推动科技成果转化、促进国有企业改制等知识产权业务领域发挥了重要专业作用。随着经济社会的不断发展，科技创新作用日益凸显，涌现出很多知识产权相关的新领域新业态，知识产权资产评估服务需求不断增加，评估对象和评估目的呈现多元化和前沿性发展趋势。同时，实践中知识产权资产评估领域覆盖广、收益预测难、评估案例少等影响知识产权资产评估服务的难点问题日益凸显。</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2020年11月3</w:t>
      </w:r>
      <w:r>
        <w:rPr>
          <w:rFonts w:ascii="仿宋_GB2312" w:hAnsi="仿宋" w:eastAsia="仿宋_GB2312"/>
          <w:sz w:val="32"/>
          <w:szCs w:val="32"/>
        </w:rPr>
        <w:t>0</w:t>
      </w:r>
      <w:r>
        <w:rPr>
          <w:rFonts w:hint="eastAsia" w:ascii="仿宋_GB2312" w:hAnsi="仿宋" w:eastAsia="仿宋_GB2312"/>
          <w:sz w:val="32"/>
          <w:szCs w:val="32"/>
        </w:rPr>
        <w:t>日，习近平总书记在主持中央政治局第二十五次集体学习时，明确提出要“健全知识产权评估体系”。这体现了习近平总书记对资产评估服务于知识产权保护工作乃至国家经济体系建设的重要功能作用给予的高度重视和充分肯定。为贯彻落实习近平总书记重要讲话精神，促进资产评估更好地服务于</w:t>
      </w:r>
      <w:bookmarkStart w:id="0" w:name="_Hlk81989319"/>
      <w:r>
        <w:rPr>
          <w:rFonts w:hint="eastAsia" w:ascii="仿宋_GB2312" w:hAnsi="仿宋" w:eastAsia="仿宋_GB2312"/>
          <w:sz w:val="32"/>
          <w:szCs w:val="32"/>
        </w:rPr>
        <w:t>国家知识产权创造、运用、保护、管理</w:t>
      </w:r>
      <w:bookmarkEnd w:id="0"/>
      <w:r>
        <w:rPr>
          <w:rFonts w:hint="eastAsia" w:ascii="仿宋_GB2312" w:hAnsi="仿宋" w:eastAsia="仿宋_GB2312"/>
          <w:sz w:val="32"/>
          <w:szCs w:val="32"/>
        </w:rPr>
        <w:t>工作，有必要进一步完善知识产权资产评估准则、规范知识产权资产评估行为。</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二、准则定位</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本准则以《资产评估执业准则——无形资产》为依据，在基本概念、基本术语、框架结构等方面与其保持一致；结合知识产权资产评估的特点，实践中需要注意的重点难点问题，以及近年来知识产权资产评估业务的变化情况，对知识产权资产评估的评估对象、操作要求和披露要求等事项予以规范。</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三、准则起草过程</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021</w:t>
      </w:r>
      <w:r>
        <w:rPr>
          <w:rFonts w:hint="eastAsia" w:ascii="仿宋_GB2312" w:hAnsi="仿宋" w:eastAsia="仿宋_GB2312"/>
          <w:sz w:val="32"/>
          <w:szCs w:val="32"/>
        </w:rPr>
        <w:t>年</w:t>
      </w:r>
      <w:r>
        <w:rPr>
          <w:rFonts w:ascii="仿宋_GB2312" w:hAnsi="仿宋" w:eastAsia="仿宋_GB2312"/>
          <w:sz w:val="32"/>
          <w:szCs w:val="32"/>
        </w:rPr>
        <w:t>5</w:t>
      </w:r>
      <w:r>
        <w:rPr>
          <w:rFonts w:hint="eastAsia" w:ascii="仿宋_GB2312" w:hAnsi="仿宋" w:eastAsia="仿宋_GB2312"/>
          <w:sz w:val="32"/>
          <w:szCs w:val="32"/>
        </w:rPr>
        <w:t>月，中评协组建项目组，着手研究制定《资产评估执业准则——知识产权》。项目组研究了相关法律</w:t>
      </w:r>
      <w:r>
        <w:rPr>
          <w:rFonts w:ascii="仿宋_GB2312" w:hAnsi="仿宋" w:eastAsia="仿宋_GB2312"/>
          <w:sz w:val="32"/>
          <w:szCs w:val="32"/>
        </w:rPr>
        <w:t>、</w:t>
      </w:r>
      <w:r>
        <w:rPr>
          <w:rFonts w:hint="eastAsia" w:ascii="仿宋_GB2312" w:hAnsi="仿宋" w:eastAsia="仿宋_GB2312"/>
          <w:sz w:val="32"/>
          <w:szCs w:val="32"/>
        </w:rPr>
        <w:t>行政法规和文献资料，组织开展了实地调研、案例分析、</w:t>
      </w:r>
      <w:r>
        <w:rPr>
          <w:rFonts w:ascii="仿宋_GB2312" w:hAnsi="仿宋" w:eastAsia="仿宋_GB2312"/>
          <w:sz w:val="32"/>
          <w:szCs w:val="32"/>
        </w:rPr>
        <w:t>专家讨论</w:t>
      </w:r>
      <w:r>
        <w:rPr>
          <w:rFonts w:hint="eastAsia" w:ascii="仿宋_GB2312" w:hAnsi="仿宋" w:eastAsia="仿宋_GB2312"/>
          <w:sz w:val="32"/>
          <w:szCs w:val="32"/>
        </w:rPr>
        <w:t>等，于2021年</w:t>
      </w:r>
      <w:r>
        <w:rPr>
          <w:rFonts w:ascii="仿宋_GB2312" w:hAnsi="仿宋" w:eastAsia="仿宋_GB2312"/>
          <w:sz w:val="32"/>
          <w:szCs w:val="32"/>
        </w:rPr>
        <w:t>9</w:t>
      </w:r>
      <w:r>
        <w:rPr>
          <w:rFonts w:hint="eastAsia" w:ascii="仿宋_GB2312" w:hAnsi="仿宋" w:eastAsia="仿宋_GB2312"/>
          <w:sz w:val="32"/>
          <w:szCs w:val="32"/>
        </w:rPr>
        <w:t>月形成准则建议稿。2021年</w:t>
      </w:r>
      <w:r>
        <w:rPr>
          <w:rFonts w:ascii="仿宋_GB2312" w:hAnsi="仿宋" w:eastAsia="仿宋_GB2312"/>
          <w:sz w:val="32"/>
          <w:szCs w:val="32"/>
        </w:rPr>
        <w:t>10</w:t>
      </w:r>
      <w:r>
        <w:rPr>
          <w:rFonts w:hint="eastAsia" w:ascii="仿宋_GB2312" w:hAnsi="仿宋" w:eastAsia="仿宋_GB2312"/>
          <w:sz w:val="32"/>
          <w:szCs w:val="32"/>
        </w:rPr>
        <w:t>月，中评协组织召开了建议稿专家讨论会，项目组根据专家意见对建议稿进行了修改完善，于2</w:t>
      </w:r>
      <w:r>
        <w:rPr>
          <w:rFonts w:ascii="仿宋_GB2312" w:hAnsi="仿宋" w:eastAsia="仿宋_GB2312"/>
          <w:sz w:val="32"/>
          <w:szCs w:val="32"/>
        </w:rPr>
        <w:t>021</w:t>
      </w:r>
      <w:r>
        <w:rPr>
          <w:rFonts w:hint="eastAsia" w:ascii="仿宋_GB2312" w:hAnsi="仿宋" w:eastAsia="仿宋_GB2312"/>
          <w:sz w:val="32"/>
          <w:szCs w:val="32"/>
        </w:rPr>
        <w:t>年1</w:t>
      </w:r>
      <w:r>
        <w:rPr>
          <w:rFonts w:ascii="仿宋_GB2312" w:hAnsi="仿宋" w:eastAsia="仿宋_GB2312"/>
          <w:sz w:val="32"/>
          <w:szCs w:val="32"/>
        </w:rPr>
        <w:t>1</w:t>
      </w:r>
      <w:r>
        <w:rPr>
          <w:rFonts w:hint="eastAsia" w:ascii="仿宋_GB2312" w:hAnsi="仿宋" w:eastAsia="仿宋_GB2312"/>
          <w:sz w:val="32"/>
          <w:szCs w:val="32"/>
        </w:rPr>
        <w:t>月形成了征求意见稿。</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四、准则结构和主要内容</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本准则由总则、基本遵循、评估对象、操作要求、披露要求、</w:t>
      </w:r>
      <w:r>
        <w:rPr>
          <w:rFonts w:ascii="仿宋_GB2312" w:hAnsi="仿宋" w:eastAsia="仿宋_GB2312"/>
          <w:sz w:val="32"/>
          <w:szCs w:val="32"/>
        </w:rPr>
        <w:t>附则</w:t>
      </w:r>
      <w:r>
        <w:rPr>
          <w:rFonts w:hint="eastAsia" w:ascii="仿宋_GB2312" w:hAnsi="仿宋" w:eastAsia="仿宋_GB2312"/>
          <w:sz w:val="32"/>
          <w:szCs w:val="32"/>
        </w:rPr>
        <w:t>六部分构成。</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（一）总则。</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明确了本准则的制定目的和依据，知识产权、知识产权资产以及知识产权资产评估的定义。</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（二）基本遵循。</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规定了执行知识产权资产评估业务对资产评估机构和资产评估专业人员的胜任能力、核查验证、合理使用评估假设和限定条件等方面的要求，以及执行知识产权资产评估业务需要了解的知识产权资产的基本价值特点和评估目的等内容。</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（三）评估对象。</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明确不同类型和不同目的的知识产权资产评估的评估对象和执业中需要关注的事项。</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（四）操作要求。</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对执行知识产权资产评估业务提出具体操作要求，包括知识产权资产评估的评估方法和价值类型选择等资产评估程序履行的总体要求，以及不同类型知识产权资产和某些特定评估目的下需要关注的具体事项和操作规范。</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（五）披露要求。</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提出了知识产权资产特点、评估过程和依据、评估结论等事项的披露要求，以及某些特定目的的知识产权资产评估中资产评估报告编制的重点披露要求等。</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五、重要事项说明</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（一）关于知识产权资产评估的评估目的。</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基于知识产权资产的法律属性和价值特点，知识产权资产评估的评估目的较为丰富，常见的包括转让、许可使用、出资、质押融资、诉讼、仲裁、执行财产处置、财务报告等，不同评估目的执业中需要关注的问题会存在一定的差异，本准则中对常见的评估目的以及不同评估目的中有关评估对象、操作要求和披露要求等事项予以说明和规范。</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（二）关于知识产权资产的类型。</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本准则所指知识产权资产包括专利权、商标权、著作权、商业秘密、集成电路布图设计和植物新品种等多种类型，不同类型的知识产权资产评估涉及的评估对象和操作要求会有所差异，本准则明确了不同类型知识产权资产的定义，以及其评估对象和评估操作中需要关注的事项等。</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（三）关于资产评估报告披露。</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知识产权资产的权利状况、实施情况等因素对其价值影响重大，执行知识产权资产评估业务，对反映知识产权资产特点的相关内容应当在资产评估报告中予以充分披露。诉讼、仲裁以及执行财产处置目的的知识产权资产评估服务于司法相关领域，评估委托、现场调查、资料收集等资产评估程序履行与常规资产评估业务可能存在差异或者受到限制，编制资产评估报告时需要对相关重要事项予以披露。</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（四）关于评估结论的表述。</w:t>
      </w:r>
    </w:p>
    <w:p>
      <w:pPr>
        <w:adjustRightInd w:val="0"/>
        <w:snapToGrid w:val="0"/>
        <w:spacing w:line="360" w:lineRule="auto"/>
        <w:ind w:firstLine="640" w:firstLineChars="200"/>
        <w:rPr>
          <w:szCs w:val="32"/>
        </w:rPr>
      </w:pPr>
      <w:r>
        <w:rPr>
          <w:rFonts w:hint="eastAsia" w:ascii="仿宋_GB2312" w:hAnsi="仿宋" w:eastAsia="仿宋_GB2312"/>
          <w:sz w:val="32"/>
          <w:szCs w:val="32"/>
        </w:rPr>
        <w:t>知识产权资产评估实践中，基于某些特定的经济行为和评估目的，存在要求评估相对数的情况。例如，某专利许可使用的资产评估业务中，委托人要求评估合理的许可费率而非使用权的绝对数。考虑到知识产权资产评估业务的这种特殊情况，本准则在资产评估报告的披露要求中首次明确了</w:t>
      </w:r>
      <w:r>
        <w:rPr>
          <w:rFonts w:hint="eastAsia" w:ascii="仿宋_GB2312" w:hAnsi="宋体" w:eastAsia="仿宋_GB2312"/>
          <w:sz w:val="32"/>
          <w:szCs w:val="32"/>
        </w:rPr>
        <w:t>可以根据资产评估委托合同的约定，</w:t>
      </w:r>
      <w:bookmarkStart w:id="1" w:name="_Hlk88555027"/>
      <w:r>
        <w:rPr>
          <w:rFonts w:hint="eastAsia" w:ascii="仿宋_GB2312" w:hAnsi="宋体" w:eastAsia="仿宋_GB2312"/>
          <w:sz w:val="32"/>
          <w:szCs w:val="32"/>
        </w:rPr>
        <w:t>采用以货币计量的绝对数或者以许可费率等计量的相对数</w:t>
      </w:r>
      <w:bookmarkEnd w:id="1"/>
      <w:r>
        <w:rPr>
          <w:rFonts w:hint="eastAsia" w:ascii="仿宋_GB2312" w:hAnsi="宋体" w:eastAsia="仿宋_GB2312"/>
          <w:sz w:val="32"/>
          <w:szCs w:val="32"/>
        </w:rPr>
        <w:t>表述评估结论。</w:t>
      </w:r>
    </w:p>
    <w:sectPr>
      <w:footerReference r:id="rId3" w:type="default"/>
      <w:footerReference r:id="rId4" w:type="even"/>
      <w:pgSz w:w="11906" w:h="16838"/>
      <w:pgMar w:top="1440" w:right="1800" w:bottom="1440" w:left="1800" w:header="397" w:footer="1134" w:gutter="0"/>
      <w:pgNumType w:fmt="numberInDash" w:start="1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1764852"/>
      <w:docPartObj>
        <w:docPartGallery w:val="AutoText"/>
      </w:docPartObj>
    </w:sdtPr>
    <w:sdtContent>
      <w:p>
        <w:pPr>
          <w:pStyle w:val="5"/>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- 2 -</w:t>
    </w:r>
    <w:r>
      <w:rPr>
        <w:rFonts w:ascii="宋体" w:hAnsi="宋体" w:eastAsia="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55"/>
    <w:rsid w:val="00001B2A"/>
    <w:rsid w:val="00004996"/>
    <w:rsid w:val="000154AD"/>
    <w:rsid w:val="000248D2"/>
    <w:rsid w:val="0002626B"/>
    <w:rsid w:val="00051482"/>
    <w:rsid w:val="00051602"/>
    <w:rsid w:val="0006499E"/>
    <w:rsid w:val="00071E11"/>
    <w:rsid w:val="00073241"/>
    <w:rsid w:val="000821BE"/>
    <w:rsid w:val="00082353"/>
    <w:rsid w:val="000A219E"/>
    <w:rsid w:val="000B1414"/>
    <w:rsid w:val="000B1E47"/>
    <w:rsid w:val="000C4D38"/>
    <w:rsid w:val="000D00EB"/>
    <w:rsid w:val="000D021E"/>
    <w:rsid w:val="000E69D1"/>
    <w:rsid w:val="00102032"/>
    <w:rsid w:val="00115CA4"/>
    <w:rsid w:val="00116F81"/>
    <w:rsid w:val="00143F8D"/>
    <w:rsid w:val="00145E9C"/>
    <w:rsid w:val="00151AFE"/>
    <w:rsid w:val="00164DF5"/>
    <w:rsid w:val="00170BDA"/>
    <w:rsid w:val="001846C1"/>
    <w:rsid w:val="00197BE6"/>
    <w:rsid w:val="001A3053"/>
    <w:rsid w:val="001A3E3E"/>
    <w:rsid w:val="001B40DC"/>
    <w:rsid w:val="001B4267"/>
    <w:rsid w:val="001B56B0"/>
    <w:rsid w:val="001B60BA"/>
    <w:rsid w:val="001B7CD9"/>
    <w:rsid w:val="001D0AAC"/>
    <w:rsid w:val="001E63A6"/>
    <w:rsid w:val="001F3FBA"/>
    <w:rsid w:val="001F66DD"/>
    <w:rsid w:val="0021535D"/>
    <w:rsid w:val="0022013B"/>
    <w:rsid w:val="00225B13"/>
    <w:rsid w:val="0023621E"/>
    <w:rsid w:val="00246FD6"/>
    <w:rsid w:val="00251A15"/>
    <w:rsid w:val="00254523"/>
    <w:rsid w:val="00261528"/>
    <w:rsid w:val="00264FA2"/>
    <w:rsid w:val="00274B68"/>
    <w:rsid w:val="0028356A"/>
    <w:rsid w:val="002900DB"/>
    <w:rsid w:val="0029023E"/>
    <w:rsid w:val="00293675"/>
    <w:rsid w:val="002A449B"/>
    <w:rsid w:val="002C1D54"/>
    <w:rsid w:val="002C2E29"/>
    <w:rsid w:val="002C3EA4"/>
    <w:rsid w:val="002D0E9F"/>
    <w:rsid w:val="002D71CB"/>
    <w:rsid w:val="002E1403"/>
    <w:rsid w:val="002E16F2"/>
    <w:rsid w:val="002E33E3"/>
    <w:rsid w:val="002E7C98"/>
    <w:rsid w:val="002F049F"/>
    <w:rsid w:val="002F4404"/>
    <w:rsid w:val="00301260"/>
    <w:rsid w:val="00302569"/>
    <w:rsid w:val="00303412"/>
    <w:rsid w:val="0030410B"/>
    <w:rsid w:val="00304140"/>
    <w:rsid w:val="003046EB"/>
    <w:rsid w:val="00310515"/>
    <w:rsid w:val="0031779D"/>
    <w:rsid w:val="00320950"/>
    <w:rsid w:val="00327DC8"/>
    <w:rsid w:val="0035098E"/>
    <w:rsid w:val="00350CC4"/>
    <w:rsid w:val="00352BF5"/>
    <w:rsid w:val="00382351"/>
    <w:rsid w:val="0038756E"/>
    <w:rsid w:val="0038777A"/>
    <w:rsid w:val="00396E6D"/>
    <w:rsid w:val="003A6A25"/>
    <w:rsid w:val="003B4FD2"/>
    <w:rsid w:val="003C46E8"/>
    <w:rsid w:val="003C7E6A"/>
    <w:rsid w:val="003D077A"/>
    <w:rsid w:val="003D2978"/>
    <w:rsid w:val="003D2C38"/>
    <w:rsid w:val="003D500F"/>
    <w:rsid w:val="003F033B"/>
    <w:rsid w:val="00400C9A"/>
    <w:rsid w:val="00404E35"/>
    <w:rsid w:val="0041521A"/>
    <w:rsid w:val="00416983"/>
    <w:rsid w:val="0042375A"/>
    <w:rsid w:val="00423CA9"/>
    <w:rsid w:val="00436E8F"/>
    <w:rsid w:val="004374C8"/>
    <w:rsid w:val="0044263E"/>
    <w:rsid w:val="00443BB5"/>
    <w:rsid w:val="00445903"/>
    <w:rsid w:val="004507A2"/>
    <w:rsid w:val="00452EFC"/>
    <w:rsid w:val="004540F2"/>
    <w:rsid w:val="004612F7"/>
    <w:rsid w:val="00467CC1"/>
    <w:rsid w:val="00474F19"/>
    <w:rsid w:val="00480574"/>
    <w:rsid w:val="00484C9C"/>
    <w:rsid w:val="004A4CA9"/>
    <w:rsid w:val="004C1B35"/>
    <w:rsid w:val="004C1F07"/>
    <w:rsid w:val="004D100E"/>
    <w:rsid w:val="004D553E"/>
    <w:rsid w:val="004D565C"/>
    <w:rsid w:val="004E5021"/>
    <w:rsid w:val="004E7235"/>
    <w:rsid w:val="004F30CC"/>
    <w:rsid w:val="004F5A6B"/>
    <w:rsid w:val="004F6397"/>
    <w:rsid w:val="00511F7E"/>
    <w:rsid w:val="00515922"/>
    <w:rsid w:val="005160B4"/>
    <w:rsid w:val="00520F52"/>
    <w:rsid w:val="0052657F"/>
    <w:rsid w:val="005358B1"/>
    <w:rsid w:val="00537501"/>
    <w:rsid w:val="00543B18"/>
    <w:rsid w:val="00546CA2"/>
    <w:rsid w:val="00550E78"/>
    <w:rsid w:val="00551399"/>
    <w:rsid w:val="00567980"/>
    <w:rsid w:val="00573E1B"/>
    <w:rsid w:val="00573F41"/>
    <w:rsid w:val="0057577B"/>
    <w:rsid w:val="005831A0"/>
    <w:rsid w:val="0058559E"/>
    <w:rsid w:val="005A00B5"/>
    <w:rsid w:val="005A1961"/>
    <w:rsid w:val="005A2763"/>
    <w:rsid w:val="005A5FB3"/>
    <w:rsid w:val="005B563B"/>
    <w:rsid w:val="005C16C9"/>
    <w:rsid w:val="005C7761"/>
    <w:rsid w:val="005F3D50"/>
    <w:rsid w:val="005F4D70"/>
    <w:rsid w:val="00600855"/>
    <w:rsid w:val="0060711F"/>
    <w:rsid w:val="006101C9"/>
    <w:rsid w:val="00615DFE"/>
    <w:rsid w:val="00624876"/>
    <w:rsid w:val="00641520"/>
    <w:rsid w:val="006440D4"/>
    <w:rsid w:val="00646605"/>
    <w:rsid w:val="00651D2A"/>
    <w:rsid w:val="006525DE"/>
    <w:rsid w:val="00653B61"/>
    <w:rsid w:val="00660813"/>
    <w:rsid w:val="00661BB8"/>
    <w:rsid w:val="00672ADE"/>
    <w:rsid w:val="00674155"/>
    <w:rsid w:val="006909FF"/>
    <w:rsid w:val="00694703"/>
    <w:rsid w:val="006A154F"/>
    <w:rsid w:val="006C2367"/>
    <w:rsid w:val="006E1078"/>
    <w:rsid w:val="006E262A"/>
    <w:rsid w:val="006E2C7D"/>
    <w:rsid w:val="006E3A3D"/>
    <w:rsid w:val="006E42A7"/>
    <w:rsid w:val="006F6296"/>
    <w:rsid w:val="00700A77"/>
    <w:rsid w:val="007115E5"/>
    <w:rsid w:val="0072088C"/>
    <w:rsid w:val="00721BAF"/>
    <w:rsid w:val="00744592"/>
    <w:rsid w:val="007457B5"/>
    <w:rsid w:val="0075577A"/>
    <w:rsid w:val="00760102"/>
    <w:rsid w:val="00766F45"/>
    <w:rsid w:val="00767AE8"/>
    <w:rsid w:val="00772956"/>
    <w:rsid w:val="00777481"/>
    <w:rsid w:val="00784382"/>
    <w:rsid w:val="007906DF"/>
    <w:rsid w:val="00792D02"/>
    <w:rsid w:val="00793A99"/>
    <w:rsid w:val="00794051"/>
    <w:rsid w:val="007B1BD2"/>
    <w:rsid w:val="007B3015"/>
    <w:rsid w:val="007C0407"/>
    <w:rsid w:val="007D320B"/>
    <w:rsid w:val="007D44EB"/>
    <w:rsid w:val="007E33B3"/>
    <w:rsid w:val="007F4622"/>
    <w:rsid w:val="007F5346"/>
    <w:rsid w:val="00815BCA"/>
    <w:rsid w:val="00822BDE"/>
    <w:rsid w:val="008230B0"/>
    <w:rsid w:val="0082566F"/>
    <w:rsid w:val="008309ED"/>
    <w:rsid w:val="0083425F"/>
    <w:rsid w:val="00836241"/>
    <w:rsid w:val="008412AC"/>
    <w:rsid w:val="00841390"/>
    <w:rsid w:val="0084404C"/>
    <w:rsid w:val="00862419"/>
    <w:rsid w:val="0086580D"/>
    <w:rsid w:val="00870CED"/>
    <w:rsid w:val="00880524"/>
    <w:rsid w:val="00882F9B"/>
    <w:rsid w:val="008843B2"/>
    <w:rsid w:val="00885828"/>
    <w:rsid w:val="00896D36"/>
    <w:rsid w:val="008A53A5"/>
    <w:rsid w:val="008B02E4"/>
    <w:rsid w:val="008B6959"/>
    <w:rsid w:val="008C172C"/>
    <w:rsid w:val="008D1E31"/>
    <w:rsid w:val="008D3CDE"/>
    <w:rsid w:val="008D4983"/>
    <w:rsid w:val="008F5E70"/>
    <w:rsid w:val="009029D4"/>
    <w:rsid w:val="009152F7"/>
    <w:rsid w:val="00920342"/>
    <w:rsid w:val="00921132"/>
    <w:rsid w:val="00925FA1"/>
    <w:rsid w:val="00937ED1"/>
    <w:rsid w:val="00940666"/>
    <w:rsid w:val="00950459"/>
    <w:rsid w:val="009538DF"/>
    <w:rsid w:val="00963DC5"/>
    <w:rsid w:val="00970110"/>
    <w:rsid w:val="0097377C"/>
    <w:rsid w:val="00974ADC"/>
    <w:rsid w:val="00977B93"/>
    <w:rsid w:val="00983553"/>
    <w:rsid w:val="00990024"/>
    <w:rsid w:val="00992A75"/>
    <w:rsid w:val="0099309E"/>
    <w:rsid w:val="009A2721"/>
    <w:rsid w:val="009B099E"/>
    <w:rsid w:val="009B4204"/>
    <w:rsid w:val="009C29A3"/>
    <w:rsid w:val="009E3510"/>
    <w:rsid w:val="009E538D"/>
    <w:rsid w:val="009F1AD2"/>
    <w:rsid w:val="009F37A7"/>
    <w:rsid w:val="00A04D11"/>
    <w:rsid w:val="00A05BE9"/>
    <w:rsid w:val="00A06011"/>
    <w:rsid w:val="00A1760C"/>
    <w:rsid w:val="00A2208B"/>
    <w:rsid w:val="00A41546"/>
    <w:rsid w:val="00A42F3E"/>
    <w:rsid w:val="00A43D32"/>
    <w:rsid w:val="00A50443"/>
    <w:rsid w:val="00A52F46"/>
    <w:rsid w:val="00A543B6"/>
    <w:rsid w:val="00A56B2A"/>
    <w:rsid w:val="00A57B07"/>
    <w:rsid w:val="00A608BC"/>
    <w:rsid w:val="00A60A95"/>
    <w:rsid w:val="00A615DC"/>
    <w:rsid w:val="00A61AE6"/>
    <w:rsid w:val="00A65099"/>
    <w:rsid w:val="00A71920"/>
    <w:rsid w:val="00A732B7"/>
    <w:rsid w:val="00A94ADF"/>
    <w:rsid w:val="00A96A84"/>
    <w:rsid w:val="00AA2C7B"/>
    <w:rsid w:val="00AB3209"/>
    <w:rsid w:val="00AB5B4C"/>
    <w:rsid w:val="00AC105E"/>
    <w:rsid w:val="00AC57EE"/>
    <w:rsid w:val="00AD1662"/>
    <w:rsid w:val="00AD69A2"/>
    <w:rsid w:val="00AE152D"/>
    <w:rsid w:val="00AE246E"/>
    <w:rsid w:val="00AF34A0"/>
    <w:rsid w:val="00B00593"/>
    <w:rsid w:val="00B0717F"/>
    <w:rsid w:val="00B10D8D"/>
    <w:rsid w:val="00B21728"/>
    <w:rsid w:val="00B23657"/>
    <w:rsid w:val="00B27539"/>
    <w:rsid w:val="00B411A4"/>
    <w:rsid w:val="00B415F4"/>
    <w:rsid w:val="00B45254"/>
    <w:rsid w:val="00B51340"/>
    <w:rsid w:val="00B516FD"/>
    <w:rsid w:val="00B576E6"/>
    <w:rsid w:val="00B6310E"/>
    <w:rsid w:val="00B65DCD"/>
    <w:rsid w:val="00B65F7E"/>
    <w:rsid w:val="00B71678"/>
    <w:rsid w:val="00B74D32"/>
    <w:rsid w:val="00B76D91"/>
    <w:rsid w:val="00B87C4F"/>
    <w:rsid w:val="00B87CD1"/>
    <w:rsid w:val="00B903D0"/>
    <w:rsid w:val="00B9181A"/>
    <w:rsid w:val="00B9502A"/>
    <w:rsid w:val="00BA0025"/>
    <w:rsid w:val="00BB0200"/>
    <w:rsid w:val="00BB2533"/>
    <w:rsid w:val="00BB68FE"/>
    <w:rsid w:val="00BB6AA5"/>
    <w:rsid w:val="00BC35BB"/>
    <w:rsid w:val="00BD1DB4"/>
    <w:rsid w:val="00BD5859"/>
    <w:rsid w:val="00BE0DDE"/>
    <w:rsid w:val="00BE23D4"/>
    <w:rsid w:val="00BE2408"/>
    <w:rsid w:val="00BE4F8A"/>
    <w:rsid w:val="00BE77A7"/>
    <w:rsid w:val="00BF6EA8"/>
    <w:rsid w:val="00BF78A6"/>
    <w:rsid w:val="00C00C47"/>
    <w:rsid w:val="00C0295C"/>
    <w:rsid w:val="00C1171C"/>
    <w:rsid w:val="00C160A9"/>
    <w:rsid w:val="00C22594"/>
    <w:rsid w:val="00C230B2"/>
    <w:rsid w:val="00C23C72"/>
    <w:rsid w:val="00C27DDB"/>
    <w:rsid w:val="00C52EFF"/>
    <w:rsid w:val="00C76312"/>
    <w:rsid w:val="00C764AE"/>
    <w:rsid w:val="00C77740"/>
    <w:rsid w:val="00C816DA"/>
    <w:rsid w:val="00C81A41"/>
    <w:rsid w:val="00C87386"/>
    <w:rsid w:val="00C91196"/>
    <w:rsid w:val="00C9126F"/>
    <w:rsid w:val="00C94392"/>
    <w:rsid w:val="00C95BDC"/>
    <w:rsid w:val="00C96249"/>
    <w:rsid w:val="00CA2409"/>
    <w:rsid w:val="00CA546A"/>
    <w:rsid w:val="00CB3959"/>
    <w:rsid w:val="00CC0EDA"/>
    <w:rsid w:val="00CC3E60"/>
    <w:rsid w:val="00CC5932"/>
    <w:rsid w:val="00CD340F"/>
    <w:rsid w:val="00CE00F3"/>
    <w:rsid w:val="00CF01FB"/>
    <w:rsid w:val="00CF5B42"/>
    <w:rsid w:val="00D234A0"/>
    <w:rsid w:val="00D262E8"/>
    <w:rsid w:val="00D26F5E"/>
    <w:rsid w:val="00D31FA3"/>
    <w:rsid w:val="00D34065"/>
    <w:rsid w:val="00D366A3"/>
    <w:rsid w:val="00D37A14"/>
    <w:rsid w:val="00D4430F"/>
    <w:rsid w:val="00D45046"/>
    <w:rsid w:val="00D555B0"/>
    <w:rsid w:val="00D71F27"/>
    <w:rsid w:val="00DA5387"/>
    <w:rsid w:val="00DA6B5A"/>
    <w:rsid w:val="00DA6D5C"/>
    <w:rsid w:val="00DC26CE"/>
    <w:rsid w:val="00DC3287"/>
    <w:rsid w:val="00DC3391"/>
    <w:rsid w:val="00DE3174"/>
    <w:rsid w:val="00DF57EB"/>
    <w:rsid w:val="00E012AB"/>
    <w:rsid w:val="00E029E4"/>
    <w:rsid w:val="00E02F39"/>
    <w:rsid w:val="00E053CE"/>
    <w:rsid w:val="00E14CED"/>
    <w:rsid w:val="00E30D04"/>
    <w:rsid w:val="00E324BC"/>
    <w:rsid w:val="00E430B2"/>
    <w:rsid w:val="00E430D4"/>
    <w:rsid w:val="00E47341"/>
    <w:rsid w:val="00E5478C"/>
    <w:rsid w:val="00E62A3E"/>
    <w:rsid w:val="00E7748B"/>
    <w:rsid w:val="00E87BC1"/>
    <w:rsid w:val="00E9412E"/>
    <w:rsid w:val="00EA0D46"/>
    <w:rsid w:val="00EA635B"/>
    <w:rsid w:val="00EC65B4"/>
    <w:rsid w:val="00EE091D"/>
    <w:rsid w:val="00EF1309"/>
    <w:rsid w:val="00EF6BC2"/>
    <w:rsid w:val="00EF7B28"/>
    <w:rsid w:val="00EF7BD0"/>
    <w:rsid w:val="00F0558A"/>
    <w:rsid w:val="00F059D9"/>
    <w:rsid w:val="00F148A7"/>
    <w:rsid w:val="00F31352"/>
    <w:rsid w:val="00F33A7A"/>
    <w:rsid w:val="00F44304"/>
    <w:rsid w:val="00F45392"/>
    <w:rsid w:val="00F7284C"/>
    <w:rsid w:val="00F76698"/>
    <w:rsid w:val="00F9476F"/>
    <w:rsid w:val="00F962C5"/>
    <w:rsid w:val="00FA0F78"/>
    <w:rsid w:val="00FB65A0"/>
    <w:rsid w:val="00FC73F5"/>
    <w:rsid w:val="00FD25DF"/>
    <w:rsid w:val="00FD2DED"/>
    <w:rsid w:val="00FD7B2B"/>
    <w:rsid w:val="00FE08A6"/>
    <w:rsid w:val="00FE7C26"/>
    <w:rsid w:val="00FF1569"/>
    <w:rsid w:val="00FF4968"/>
    <w:rsid w:val="67E20A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3"/>
    <w:next w:val="3"/>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sz w:val="18"/>
      <w:szCs w:val="18"/>
    </w:rPr>
  </w:style>
  <w:style w:type="character" w:customStyle="1" w:styleId="14">
    <w:name w:val="标题 1 字符"/>
    <w:basedOn w:val="9"/>
    <w:link w:val="2"/>
    <w:qFormat/>
    <w:uiPriority w:val="0"/>
    <w:rPr>
      <w:rFonts w:ascii="Times New Roman" w:hAnsi="Times New Roman" w:eastAsia="宋体" w:cs="Times New Roman"/>
      <w:b/>
      <w:bCs/>
      <w:kern w:val="44"/>
      <w:sz w:val="44"/>
      <w:szCs w:val="44"/>
    </w:rPr>
  </w:style>
  <w:style w:type="character" w:customStyle="1" w:styleId="15">
    <w:name w:val="bjh-p"/>
    <w:basedOn w:val="9"/>
    <w:qFormat/>
    <w:uiPriority w:val="0"/>
  </w:style>
  <w:style w:type="character" w:customStyle="1" w:styleId="16">
    <w:name w:val="批注文字 字符"/>
    <w:basedOn w:val="9"/>
    <w:link w:val="3"/>
    <w:semiHidden/>
    <w:qFormat/>
    <w:uiPriority w:val="99"/>
    <w:rPr>
      <w:rFonts w:ascii="Times New Roman" w:hAnsi="Times New Roman" w:eastAsia="宋体" w:cs="Times New Roman"/>
      <w:szCs w:val="24"/>
    </w:rPr>
  </w:style>
  <w:style w:type="character" w:customStyle="1" w:styleId="17">
    <w:name w:val="批注主题 字符"/>
    <w:basedOn w:val="16"/>
    <w:link w:val="7"/>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4E9C0-B683-43E9-B7C5-2267BB47A53F}">
  <ds:schemaRefs/>
</ds:datastoreItem>
</file>

<file path=docProps/app.xml><?xml version="1.0" encoding="utf-8"?>
<Properties xmlns="http://schemas.openxmlformats.org/officeDocument/2006/extended-properties" xmlns:vt="http://schemas.openxmlformats.org/officeDocument/2006/docPropsVTypes">
  <Template>Normal</Template>
  <Pages>5</Pages>
  <Words>295</Words>
  <Characters>1685</Characters>
  <Lines>14</Lines>
  <Paragraphs>3</Paragraphs>
  <TotalTime>160</TotalTime>
  <ScaleCrop>false</ScaleCrop>
  <LinksUpToDate>false</LinksUpToDate>
  <CharactersWithSpaces>1977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2021-10-25T09:49:00Z</dcterms:created>
  <dc:creator>殷霞</dc:creator>
  <cp:lastModifiedBy>老熏茶</cp:lastModifiedBy>
  <cp:lastPrinted>2021-11-25T10:54:00Z</cp:lastPrinted>
  <dcterms:modified xsi:type="dcterms:W3CDTF">2021-12-01T09:10:28Z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BF6F90BA772A41E6AF8D6F19987EB793</vt:lpwstr>
  </property>
</Properties>
</file>