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1134"/>
        </w:tabs>
        <w:adjustRightInd w:val="0"/>
        <w:snapToGrid w:val="0"/>
        <w:spacing w:before="0" w:after="0" w:line="360" w:lineRule="auto"/>
        <w:jc w:val="center"/>
        <w:textAlignment w:val="baseline"/>
        <w:rPr>
          <w:rFonts w:ascii="仿宋" w:hAnsi="仿宋" w:eastAsia="仿宋" w:cs="Times New Roman"/>
          <w:bCs/>
          <w:kern w:val="0"/>
          <w:sz w:val="44"/>
          <w:szCs w:val="44"/>
        </w:rPr>
      </w:pPr>
      <w:bookmarkStart w:id="0" w:name="_Toc106980786"/>
      <w:r>
        <w:rPr>
          <w:rFonts w:ascii="仿宋" w:hAnsi="仿宋" w:eastAsia="仿宋" w:cs="Times New Roman"/>
          <w:bCs/>
          <w:kern w:val="0"/>
          <w:sz w:val="44"/>
          <w:szCs w:val="44"/>
        </w:rPr>
        <w:t>资产评估机构基本情况表</w:t>
      </w:r>
      <w:bookmarkEnd w:id="0"/>
    </w:p>
    <w:p>
      <w:pPr>
        <w:spacing w:line="360" w:lineRule="auto"/>
        <w:jc w:val="center"/>
        <w:rPr>
          <w:rFonts w:ascii="仿宋" w:hAnsi="仿宋" w:eastAsia="仿宋" w:cs="Times New Roman"/>
          <w:b/>
          <w:bCs/>
          <w:kern w:val="0"/>
          <w:szCs w:val="21"/>
        </w:rPr>
      </w:pPr>
    </w:p>
    <w:tbl>
      <w:tblPr>
        <w:tblStyle w:val="2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2272"/>
        <w:gridCol w:w="1560"/>
        <w:gridCol w:w="223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机构名称</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成立时间</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办公地址</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邮    编</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 w:val="18"/>
                <w:szCs w:val="18"/>
              </w:rPr>
            </w:pPr>
            <w:r>
              <w:rPr>
                <w:rFonts w:ascii="Times New Roman" w:hAnsi="Times New Roman" w:eastAsia="仿宋" w:cs="Times New Roman"/>
                <w:sz w:val="18"/>
                <w:szCs w:val="18"/>
              </w:rPr>
              <w:t>法定代表人或执行事务合伙人</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联系电话</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职工人数</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评估师人数</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评估报告类型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报告总数</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其中：证券业务报告数</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报告总数</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其中：证券业务报告数</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报告总数</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其中：证券业务报告数</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3832" w:type="dxa"/>
            <w:gridSpan w:val="2"/>
            <w:vAlign w:val="center"/>
          </w:tcPr>
          <w:p>
            <w:pPr>
              <w:rPr>
                <w:rFonts w:ascii="Times New Roman" w:hAnsi="Times New Roman" w:eastAsia="仿宋" w:cs="Times New Roman"/>
                <w:szCs w:val="21"/>
              </w:rPr>
            </w:pPr>
            <w:r>
              <w:rPr>
                <w:rFonts w:ascii="Times New Roman" w:hAnsi="Times New Roman" w:eastAsia="仿宋" w:cs="Times New Roman"/>
                <w:szCs w:val="21"/>
              </w:rPr>
              <w:t>其中：分公司出具的报告数</w:t>
            </w:r>
          </w:p>
        </w:tc>
        <w:tc>
          <w:tcPr>
            <w:tcW w:w="4038" w:type="dxa"/>
            <w:gridSpan w:val="2"/>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3832" w:type="dxa"/>
            <w:gridSpan w:val="2"/>
            <w:vAlign w:val="center"/>
          </w:tcPr>
          <w:p>
            <w:pPr>
              <w:rPr>
                <w:rFonts w:ascii="Times New Roman" w:hAnsi="Times New Roman" w:eastAsia="仿宋" w:cs="Times New Roman"/>
                <w:szCs w:val="21"/>
              </w:rPr>
            </w:pPr>
            <w:r>
              <w:rPr>
                <w:rFonts w:ascii="Times New Roman" w:hAnsi="Times New Roman" w:eastAsia="仿宋" w:cs="Times New Roman"/>
                <w:szCs w:val="21"/>
              </w:rPr>
              <w:t>其中：分公司出具的报告数</w:t>
            </w:r>
          </w:p>
        </w:tc>
        <w:tc>
          <w:tcPr>
            <w:tcW w:w="4038" w:type="dxa"/>
            <w:gridSpan w:val="2"/>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3832" w:type="dxa"/>
            <w:gridSpan w:val="2"/>
            <w:vAlign w:val="center"/>
          </w:tcPr>
          <w:p>
            <w:pPr>
              <w:rPr>
                <w:rFonts w:ascii="Times New Roman" w:hAnsi="Times New Roman" w:eastAsia="仿宋" w:cs="Times New Roman"/>
                <w:szCs w:val="21"/>
              </w:rPr>
            </w:pPr>
            <w:r>
              <w:rPr>
                <w:rFonts w:ascii="Times New Roman" w:hAnsi="Times New Roman" w:eastAsia="仿宋" w:cs="Times New Roman"/>
                <w:szCs w:val="21"/>
              </w:rPr>
              <w:t>其中：分公司出具的报告数</w:t>
            </w:r>
          </w:p>
        </w:tc>
        <w:tc>
          <w:tcPr>
            <w:tcW w:w="4038" w:type="dxa"/>
            <w:gridSpan w:val="2"/>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业绩情况（万元）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业务收入</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其中：分支机构收入</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业务收入</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其中：分支机构收入</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业务收入</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其中：分支机构收入</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分支机构情况1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分支机构名称</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成立时间</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办公地址</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邮    编</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负责人</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联系电话</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职工人数</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评估师人数</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bookmarkStart w:id="1" w:name="_Hlk66030672"/>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报告总数</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其中：证券业务报告数</w:t>
            </w:r>
          </w:p>
        </w:tc>
        <w:tc>
          <w:tcPr>
            <w:tcW w:w="1800" w:type="dxa"/>
            <w:vAlign w:val="center"/>
          </w:tcPr>
          <w:p>
            <w:pPr>
              <w:rPr>
                <w:rFonts w:ascii="Times New Roman" w:hAnsi="Times New Roman" w:eastAsia="仿宋" w:cs="Times New Roman"/>
                <w:szCs w:val="21"/>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分支机构情况2（依次类推）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分支机构名称</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成立时间</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办公地址</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邮    编</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负责人</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联系电话</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职工人数</w:t>
            </w:r>
          </w:p>
        </w:tc>
        <w:tc>
          <w:tcPr>
            <w:tcW w:w="3832" w:type="dxa"/>
            <w:gridSpan w:val="2"/>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评估师人数</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rPr>
                <w:rFonts w:ascii="Times New Roman" w:hAnsi="Times New Roman" w:eastAsia="仿宋" w:cs="Times New Roman"/>
                <w:szCs w:val="21"/>
              </w:rPr>
            </w:pPr>
            <w:r>
              <w:rPr>
                <w:rFonts w:ascii="Times New Roman" w:hAnsi="Times New Roman" w:eastAsia="仿宋" w:cs="Times New Roman"/>
                <w:szCs w:val="21"/>
              </w:rPr>
              <w:t>20  年</w:t>
            </w:r>
          </w:p>
        </w:tc>
        <w:tc>
          <w:tcPr>
            <w:tcW w:w="2272" w:type="dxa"/>
            <w:vAlign w:val="center"/>
          </w:tcPr>
          <w:p>
            <w:pPr>
              <w:rPr>
                <w:rFonts w:ascii="Times New Roman" w:hAnsi="Times New Roman" w:eastAsia="仿宋" w:cs="Times New Roman"/>
                <w:szCs w:val="21"/>
              </w:rPr>
            </w:pPr>
            <w:r>
              <w:rPr>
                <w:rFonts w:ascii="Times New Roman" w:hAnsi="Times New Roman" w:eastAsia="仿宋" w:cs="Times New Roman"/>
                <w:szCs w:val="21"/>
              </w:rPr>
              <w:t>报告总数</w:t>
            </w:r>
          </w:p>
        </w:tc>
        <w:tc>
          <w:tcPr>
            <w:tcW w:w="1560" w:type="dxa"/>
            <w:vAlign w:val="center"/>
          </w:tcPr>
          <w:p>
            <w:pPr>
              <w:rPr>
                <w:rFonts w:ascii="Times New Roman" w:hAnsi="Times New Roman" w:eastAsia="仿宋" w:cs="Times New Roman"/>
                <w:szCs w:val="21"/>
              </w:rPr>
            </w:pPr>
          </w:p>
        </w:tc>
        <w:tc>
          <w:tcPr>
            <w:tcW w:w="2238" w:type="dxa"/>
            <w:vAlign w:val="center"/>
          </w:tcPr>
          <w:p>
            <w:pPr>
              <w:rPr>
                <w:rFonts w:ascii="Times New Roman" w:hAnsi="Times New Roman" w:eastAsia="仿宋" w:cs="Times New Roman"/>
                <w:szCs w:val="21"/>
              </w:rPr>
            </w:pPr>
            <w:r>
              <w:rPr>
                <w:rFonts w:ascii="Times New Roman" w:hAnsi="Times New Roman" w:eastAsia="仿宋" w:cs="Times New Roman"/>
                <w:szCs w:val="21"/>
              </w:rPr>
              <w:t>其中：证券业务报告数</w:t>
            </w:r>
          </w:p>
        </w:tc>
        <w:tc>
          <w:tcPr>
            <w:tcW w:w="1800" w:type="dxa"/>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540" w:type="dxa"/>
            <w:gridSpan w:val="5"/>
            <w:vAlign w:val="center"/>
          </w:tcPr>
          <w:p>
            <w:pPr>
              <w:rPr>
                <w:rFonts w:ascii="Times New Roman" w:hAnsi="Times New Roman" w:eastAsia="仿宋" w:cs="Times New Roman"/>
                <w:szCs w:val="21"/>
              </w:rPr>
            </w:pPr>
            <w:r>
              <w:rPr>
                <w:rFonts w:ascii="Times New Roman" w:hAnsi="Times New Roman" w:eastAsia="仿宋" w:cs="Times New Roman"/>
                <w:szCs w:val="21"/>
              </w:rPr>
              <w:t>近三年机构及评估师奖惩情况：（请具体说明，并附相关材料。）</w:t>
            </w:r>
          </w:p>
          <w:p>
            <w:pPr>
              <w:rPr>
                <w:rFonts w:ascii="Times New Roman" w:hAnsi="Times New Roman" w:eastAsia="仿宋" w:cs="Times New Roman"/>
                <w:szCs w:val="21"/>
              </w:rPr>
            </w:pPr>
          </w:p>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rPr>
                <w:rFonts w:ascii="Times New Roman" w:hAnsi="Times New Roman" w:eastAsia="仿宋" w:cs="Times New Roman"/>
                <w:szCs w:val="21"/>
              </w:rPr>
            </w:pPr>
            <w:r>
              <w:rPr>
                <w:rFonts w:ascii="Times New Roman" w:hAnsi="Times New Roman" w:eastAsia="仿宋" w:cs="Times New Roman"/>
                <w:szCs w:val="21"/>
              </w:rPr>
              <w:t>近三年机构涉诉情况及未决诉讼情况：（请具体说明，并附相关材料。）</w:t>
            </w:r>
          </w:p>
          <w:p>
            <w:pPr>
              <w:rPr>
                <w:rFonts w:ascii="Times New Roman" w:hAnsi="Times New Roman" w:eastAsia="仿宋" w:cs="Times New Roman"/>
                <w:szCs w:val="21"/>
              </w:rPr>
            </w:pPr>
          </w:p>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rPr>
                <w:rFonts w:ascii="Times New Roman" w:hAnsi="Times New Roman" w:eastAsia="仿宋" w:cs="Times New Roman"/>
                <w:szCs w:val="21"/>
              </w:rPr>
            </w:pPr>
            <w:r>
              <w:rPr>
                <w:rFonts w:ascii="Times New Roman" w:hAnsi="Times New Roman" w:eastAsia="仿宋" w:cs="Times New Roman"/>
                <w:szCs w:val="21"/>
              </w:rPr>
              <w:t>其他需要说明的情况：</w:t>
            </w:r>
          </w:p>
          <w:p>
            <w:pPr>
              <w:rPr>
                <w:rFonts w:ascii="Times New Roman" w:hAnsi="Times New Roman" w:eastAsia="仿宋" w:cs="Times New Roman"/>
                <w:szCs w:val="21"/>
              </w:rPr>
            </w:pPr>
          </w:p>
          <w:p>
            <w:pPr>
              <w:rPr>
                <w:rFonts w:ascii="Times New Roman" w:hAnsi="Times New Roman" w:eastAsia="仿宋" w:cs="Times New Roman"/>
                <w:szCs w:val="21"/>
              </w:rPr>
            </w:pPr>
          </w:p>
        </w:tc>
      </w:tr>
    </w:tbl>
    <w:p>
      <w:pPr>
        <w:rPr>
          <w:rFonts w:ascii="Times New Roman" w:hAnsi="Times New Roman" w:eastAsia="仿宋" w:cs="Times New Roman"/>
          <w:szCs w:val="24"/>
        </w:rPr>
        <w:sectPr>
          <w:footerReference r:id="rId3" w:type="default"/>
          <w:pgSz w:w="11906" w:h="16838"/>
          <w:pgMar w:top="1440" w:right="1841" w:bottom="1440" w:left="1560" w:header="851" w:footer="992" w:gutter="0"/>
          <w:cols w:space="425" w:num="1"/>
          <w:docGrid w:type="lines" w:linePitch="312" w:charSpace="0"/>
        </w:sectPr>
      </w:pPr>
      <w:r>
        <w:rPr>
          <w:rFonts w:ascii="Times New Roman" w:hAnsi="Times New Roman" w:eastAsia="仿宋" w:cs="Times New Roman"/>
          <w:szCs w:val="21"/>
        </w:rPr>
        <w:t>检查人员：                    机构法定代表人签字：                 检查日期：</w:t>
      </w:r>
      <w:r>
        <w:rPr>
          <w:rFonts w:ascii="Times New Roman" w:hAnsi="Times New Roman" w:eastAsia="仿宋" w:cs="Times New Roman"/>
          <w:szCs w:val="24"/>
        </w:rPr>
        <w:t xml:space="preserve">       </w:t>
      </w:r>
    </w:p>
    <w:p>
      <w:pPr>
        <w:autoSpaceDE w:val="0"/>
        <w:autoSpaceDN w:val="0"/>
        <w:spacing w:before="10"/>
        <w:jc w:val="left"/>
        <w:rPr>
          <w:rFonts w:ascii="Times New Roman" w:hAnsi="Times New Roman" w:eastAsia="仿宋" w:cs="Times New Roman"/>
          <w:bCs/>
          <w:kern w:val="0"/>
          <w:sz w:val="25"/>
          <w:szCs w:val="15"/>
        </w:rPr>
      </w:pPr>
    </w:p>
    <w:p>
      <w:pPr>
        <w:pStyle w:val="3"/>
        <w:tabs>
          <w:tab w:val="left" w:pos="1134"/>
        </w:tabs>
        <w:adjustRightInd w:val="0"/>
        <w:snapToGrid w:val="0"/>
        <w:spacing w:before="0" w:after="0" w:line="360" w:lineRule="auto"/>
        <w:ind w:firstLine="424" w:firstLineChars="96"/>
        <w:textAlignment w:val="baseline"/>
        <w:rPr>
          <w:rFonts w:ascii="仿宋" w:hAnsi="仿宋" w:eastAsia="仿宋" w:cs="Times New Roman"/>
          <w:bCs/>
          <w:kern w:val="0"/>
          <w:sz w:val="44"/>
          <w:szCs w:val="44"/>
        </w:rPr>
      </w:pPr>
      <w:bookmarkStart w:id="2" w:name="资产评估师及专业人员"/>
      <w:bookmarkEnd w:id="2"/>
      <w:bookmarkStart w:id="3" w:name="_Toc106980787"/>
      <w:r>
        <w:rPr>
          <w:rFonts w:ascii="仿宋" w:hAnsi="仿宋" w:eastAsia="仿宋" w:cs="Times New Roman"/>
          <w:bCs/>
          <w:kern w:val="0"/>
          <w:sz w:val="44"/>
          <w:szCs w:val="44"/>
        </w:rPr>
        <w:t>资产评估师及专业人员情况表</w:t>
      </w:r>
      <w:bookmarkEnd w:id="3"/>
    </w:p>
    <w:p>
      <w:pPr>
        <w:autoSpaceDE w:val="0"/>
        <w:autoSpaceDN w:val="0"/>
        <w:spacing w:before="1"/>
        <w:jc w:val="left"/>
        <w:rPr>
          <w:rFonts w:ascii="Times New Roman" w:hAnsi="Times New Roman" w:eastAsia="仿宋" w:cs="Times New Roman"/>
          <w:b/>
          <w:bCs/>
          <w:kern w:val="0"/>
          <w:sz w:val="17"/>
          <w:szCs w:val="15"/>
        </w:rPr>
      </w:pPr>
    </w:p>
    <w:p>
      <w:pPr>
        <w:rPr>
          <w:rFonts w:ascii="Times New Roman" w:hAnsi="Times New Roman" w:eastAsia="仿宋" w:cs="Times New Roman"/>
          <w:szCs w:val="21"/>
        </w:rPr>
      </w:pPr>
      <w:r>
        <w:rPr>
          <w:rFonts w:ascii="Times New Roman" w:hAnsi="Times New Roman" w:eastAsia="仿宋" w:cs="Times New Roman"/>
          <w:szCs w:val="21"/>
        </w:rPr>
        <w:t>资产评估机构：XXXXXXXXXX评估公司</w:t>
      </w:r>
      <w:r>
        <w:rPr>
          <w:rFonts w:ascii="Times New Roman" w:hAnsi="Times New Roman" w:eastAsia="仿宋" w:cs="Times New Roman"/>
          <w:szCs w:val="21"/>
        </w:rPr>
        <w:tab/>
      </w:r>
      <w:r>
        <w:rPr>
          <w:rFonts w:ascii="Times New Roman" w:hAnsi="Times New Roman" w:eastAsia="仿宋" w:cs="Times New Roman"/>
          <w:szCs w:val="21"/>
        </w:rPr>
        <w:t xml:space="preserve">                                            填表日期：</w:t>
      </w:r>
      <w:r>
        <w:rPr>
          <w:rFonts w:ascii="Times New Roman" w:hAnsi="Times New Roman" w:eastAsia="仿宋" w:cs="Times New Roman"/>
          <w:szCs w:val="21"/>
        </w:rPr>
        <w:tab/>
      </w:r>
      <w:r>
        <w:rPr>
          <w:rFonts w:ascii="Times New Roman" w:hAnsi="Times New Roman" w:eastAsia="仿宋" w:cs="Times New Roman"/>
          <w:szCs w:val="21"/>
        </w:rPr>
        <w:t xml:space="preserve">               填表人：</w:t>
      </w:r>
    </w:p>
    <w:tbl>
      <w:tblPr>
        <w:tblStyle w:val="25"/>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6"/>
        <w:gridCol w:w="456"/>
        <w:gridCol w:w="456"/>
        <w:gridCol w:w="516"/>
        <w:gridCol w:w="516"/>
        <w:gridCol w:w="456"/>
        <w:gridCol w:w="456"/>
        <w:gridCol w:w="606"/>
        <w:gridCol w:w="637"/>
        <w:gridCol w:w="1336"/>
        <w:gridCol w:w="1412"/>
        <w:gridCol w:w="1057"/>
        <w:gridCol w:w="630"/>
        <w:gridCol w:w="606"/>
        <w:gridCol w:w="720"/>
        <w:gridCol w:w="456"/>
        <w:gridCol w:w="606"/>
        <w:gridCol w:w="516"/>
        <w:gridCol w:w="637"/>
        <w:gridCol w:w="6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序号</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姓名</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性别</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出生日期</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身份证号</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学历</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专业</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是否资产评估师</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资产评估师证编号</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首次注册时间</w:t>
            </w:r>
          </w:p>
          <w:p>
            <w:pPr>
              <w:jc w:val="center"/>
              <w:rPr>
                <w:rFonts w:ascii="Times New Roman" w:hAnsi="Times New Roman" w:eastAsia="仿宋"/>
                <w:szCs w:val="21"/>
              </w:rPr>
            </w:pPr>
            <w:r>
              <w:rPr>
                <w:rFonts w:ascii="Times New Roman" w:hAnsi="Times New Roman" w:eastAsia="仿宋"/>
                <w:szCs w:val="21"/>
              </w:rPr>
              <w:t>（yyyy-mm-</w:t>
            </w:r>
          </w:p>
          <w:p>
            <w:pPr>
              <w:jc w:val="center"/>
              <w:rPr>
                <w:rFonts w:ascii="Times New Roman" w:hAnsi="Times New Roman" w:eastAsia="仿宋"/>
                <w:szCs w:val="21"/>
              </w:rPr>
            </w:pPr>
            <w:r>
              <w:rPr>
                <w:rFonts w:ascii="Times New Roman" w:hAnsi="Times New Roman" w:eastAsia="仿宋"/>
                <w:szCs w:val="21"/>
              </w:rPr>
              <w:t>dd）</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评估师开始执业日期（yyyy- mm-dd）</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从事资产评估行业时长</w:t>
            </w:r>
          </w:p>
          <w:p>
            <w:pPr>
              <w:jc w:val="center"/>
              <w:rPr>
                <w:rFonts w:ascii="Times New Roman" w:hAnsi="Times New Roman" w:eastAsia="仿宋"/>
                <w:szCs w:val="21"/>
              </w:rPr>
            </w:pPr>
            <w:r>
              <w:rPr>
                <w:rFonts w:ascii="Times New Roman" w:hAnsi="Times New Roman" w:eastAsia="仿宋"/>
                <w:szCs w:val="21"/>
              </w:rPr>
              <w:t>（年）</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现所在部门/ 职位</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是否有其他资质</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其他资质名称/ 注册证号</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电话</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本机构入职时间</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离职时间</w:t>
            </w:r>
          </w:p>
        </w:tc>
        <w:tc>
          <w:tcPr>
            <w:tcW w:w="0" w:type="auto"/>
          </w:tcPr>
          <w:p>
            <w:pPr>
              <w:jc w:val="center"/>
              <w:rPr>
                <w:rFonts w:ascii="Times New Roman" w:hAnsi="Times New Roman" w:eastAsia="仿宋"/>
                <w:szCs w:val="21"/>
              </w:rPr>
            </w:pPr>
            <w:r>
              <w:rPr>
                <w:rFonts w:hint="eastAsia" w:ascii="Times New Roman" w:hAnsi="Times New Roman" w:eastAsia="仿宋"/>
                <w:szCs w:val="21"/>
              </w:rPr>
              <w:t>人事档案存放单位</w:t>
            </w:r>
          </w:p>
        </w:tc>
        <w:tc>
          <w:tcPr>
            <w:tcW w:w="0" w:type="auto"/>
            <w:vAlign w:val="center"/>
          </w:tcPr>
          <w:p>
            <w:pPr>
              <w:jc w:val="center"/>
              <w:rPr>
                <w:rFonts w:ascii="Times New Roman" w:hAnsi="Times New Roman" w:eastAsia="仿宋"/>
                <w:szCs w:val="21"/>
              </w:rPr>
            </w:pPr>
            <w:r>
              <w:rPr>
                <w:rFonts w:ascii="Times New Roman" w:hAnsi="Times New Roman" w:eastAsia="仿宋"/>
                <w:szCs w:val="21"/>
              </w:rPr>
              <w:t>社保缴纳</w:t>
            </w:r>
            <w:r>
              <w:rPr>
                <w:rFonts w:hint="eastAsia" w:ascii="Times New Roman" w:hAnsi="Times New Roman" w:eastAsia="仿宋"/>
                <w:szCs w:val="21"/>
              </w:rPr>
              <w:t>单位及情况</w:t>
            </w:r>
          </w:p>
        </w:tc>
        <w:tc>
          <w:tcPr>
            <w:tcW w:w="0" w:type="auto"/>
            <w:vAlign w:val="center"/>
          </w:tcPr>
          <w:p>
            <w:pPr>
              <w:jc w:val="center"/>
              <w:rPr>
                <w:rFonts w:ascii="Times New Roman" w:hAnsi="Times New Roman" w:eastAsia="仿宋"/>
                <w:szCs w:val="21"/>
              </w:rPr>
            </w:pPr>
          </w:p>
          <w:p>
            <w:pPr>
              <w:jc w:val="center"/>
              <w:rPr>
                <w:rFonts w:ascii="Times New Roman" w:hAnsi="Times New Roman" w:eastAsia="仿宋"/>
                <w:szCs w:val="21"/>
              </w:rPr>
            </w:pPr>
            <w:r>
              <w:rPr>
                <w:rFonts w:ascii="Times New Roman" w:hAnsi="Times New Roman" w:eastAsia="仿宋"/>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c>
          <w:tcPr>
            <w:tcW w:w="0" w:type="auto"/>
          </w:tcPr>
          <w:p>
            <w:pPr>
              <w:jc w:val="left"/>
              <w:rPr>
                <w:rFonts w:ascii="Times New Roman" w:hAnsi="Times New Roman" w:eastAsia="仿宋"/>
                <w:kern w:val="0"/>
                <w:sz w:val="16"/>
              </w:rPr>
            </w:pPr>
          </w:p>
        </w:tc>
      </w:tr>
    </w:tbl>
    <w:p>
      <w:pPr>
        <w:autoSpaceDE w:val="0"/>
        <w:autoSpaceDN w:val="0"/>
        <w:jc w:val="left"/>
        <w:rPr>
          <w:rFonts w:ascii="Times New Roman" w:hAnsi="Times New Roman" w:eastAsia="仿宋" w:cs="Times New Roman"/>
          <w:kern w:val="0"/>
          <w:sz w:val="22"/>
        </w:rPr>
      </w:pPr>
    </w:p>
    <w:p>
      <w:pPr>
        <w:widowControl/>
        <w:jc w:val="left"/>
        <w:rPr>
          <w:rFonts w:ascii="Times New Roman" w:hAnsi="Times New Roman" w:eastAsia="仿宋" w:cs="Times New Roman"/>
        </w:rPr>
        <w:sectPr>
          <w:pgSz w:w="16840" w:h="11910" w:orient="landscape"/>
          <w:pgMar w:top="1100" w:right="1841" w:bottom="280" w:left="1560" w:header="720" w:footer="720" w:gutter="0"/>
          <w:cols w:space="720" w:num="1"/>
        </w:sectPr>
      </w:pPr>
    </w:p>
    <w:p>
      <w:pPr>
        <w:autoSpaceDE w:val="0"/>
        <w:autoSpaceDN w:val="0"/>
        <w:jc w:val="left"/>
        <w:rPr>
          <w:rFonts w:ascii="Times New Roman" w:hAnsi="Times New Roman" w:eastAsia="仿宋" w:cs="Times New Roman"/>
          <w:bCs/>
          <w:kern w:val="0"/>
          <w:sz w:val="20"/>
          <w:szCs w:val="23"/>
        </w:rPr>
      </w:pPr>
    </w:p>
    <w:p>
      <w:pPr>
        <w:jc w:val="center"/>
        <w:rPr>
          <w:rFonts w:ascii="Times New Roman" w:hAnsi="Times New Roman" w:eastAsia="仿宋" w:cs="Times New Roman"/>
          <w:b/>
          <w:kern w:val="0"/>
          <w:sz w:val="44"/>
          <w:szCs w:val="44"/>
        </w:rPr>
      </w:pPr>
    </w:p>
    <w:p>
      <w:pPr>
        <w:adjustRightInd w:val="0"/>
        <w:snapToGrid w:val="0"/>
        <w:spacing w:line="360" w:lineRule="auto"/>
        <w:jc w:val="center"/>
        <w:rPr>
          <w:rFonts w:ascii="仿宋" w:hAnsi="仿宋" w:eastAsia="仿宋" w:cs="Times New Roman"/>
          <w:b/>
          <w:bCs/>
          <w:kern w:val="0"/>
          <w:sz w:val="44"/>
          <w:szCs w:val="44"/>
        </w:rPr>
      </w:pPr>
      <w:bookmarkStart w:id="4" w:name="评估业务基本信息"/>
      <w:bookmarkEnd w:id="4"/>
      <w:r>
        <w:rPr>
          <w:rFonts w:ascii="仿宋" w:hAnsi="仿宋" w:eastAsia="仿宋" w:cs="Times New Roman"/>
          <w:b/>
          <w:bCs/>
          <w:kern w:val="0"/>
          <w:sz w:val="44"/>
          <w:szCs w:val="44"/>
        </w:rPr>
        <w:t>XXXX年度资产评估报告明细表</w:t>
      </w:r>
    </w:p>
    <w:p>
      <w:pPr>
        <w:autoSpaceDE w:val="0"/>
        <w:autoSpaceDN w:val="0"/>
        <w:spacing w:before="8" w:line="360" w:lineRule="auto"/>
        <w:jc w:val="left"/>
        <w:rPr>
          <w:rFonts w:ascii="Times New Roman" w:hAnsi="Times New Roman" w:eastAsia="仿宋" w:cs="Times New Roman"/>
          <w:b/>
          <w:bCs/>
          <w:kern w:val="0"/>
          <w:sz w:val="24"/>
          <w:szCs w:val="23"/>
        </w:rPr>
      </w:pPr>
    </w:p>
    <w:p>
      <w:pPr>
        <w:rPr>
          <w:rFonts w:ascii="Times New Roman" w:hAnsi="Times New Roman" w:eastAsia="仿宋" w:cs="Times New Roman"/>
          <w:szCs w:val="21"/>
        </w:rPr>
      </w:pPr>
      <w:r>
        <w:rPr>
          <w:rFonts w:ascii="Times New Roman" w:hAnsi="Times New Roman" w:eastAsia="仿宋" w:cs="Times New Roman"/>
          <w:szCs w:val="21"/>
        </w:rPr>
        <w:t>资产评估机构：XXXXXXXXXX评估公司</w:t>
      </w:r>
      <w:r>
        <w:rPr>
          <w:rFonts w:ascii="Times New Roman" w:hAnsi="Times New Roman" w:eastAsia="仿宋" w:cs="Times New Roman"/>
          <w:szCs w:val="21"/>
        </w:rPr>
        <w:tab/>
      </w:r>
      <w:r>
        <w:rPr>
          <w:rFonts w:ascii="Times New Roman" w:hAnsi="Times New Roman" w:eastAsia="仿宋" w:cs="Times New Roman"/>
          <w:szCs w:val="21"/>
        </w:rPr>
        <w:t xml:space="preserve">                                       填表日期：</w:t>
      </w:r>
      <w:r>
        <w:rPr>
          <w:rFonts w:ascii="Times New Roman" w:hAnsi="Times New Roman" w:eastAsia="仿宋" w:cs="Times New Roman"/>
          <w:szCs w:val="21"/>
        </w:rPr>
        <w:tab/>
      </w:r>
      <w:r>
        <w:rPr>
          <w:rFonts w:ascii="Times New Roman" w:hAnsi="Times New Roman" w:eastAsia="仿宋" w:cs="Times New Roman"/>
          <w:szCs w:val="21"/>
        </w:rPr>
        <w:t xml:space="preserve">                 填表人：</w:t>
      </w:r>
    </w:p>
    <w:tbl>
      <w:tblPr>
        <w:tblStyle w:val="25"/>
        <w:tblW w:w="14013" w:type="dxa"/>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06"/>
        <w:gridCol w:w="833"/>
        <w:gridCol w:w="1230"/>
        <w:gridCol w:w="1184"/>
        <w:gridCol w:w="1021"/>
        <w:gridCol w:w="1021"/>
        <w:gridCol w:w="930"/>
        <w:gridCol w:w="966"/>
        <w:gridCol w:w="810"/>
        <w:gridCol w:w="1021"/>
        <w:gridCol w:w="1244"/>
        <w:gridCol w:w="1021"/>
        <w:gridCol w:w="1020"/>
        <w:gridCol w:w="10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2"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序号</w:t>
            </w:r>
          </w:p>
        </w:tc>
        <w:tc>
          <w:tcPr>
            <w:tcW w:w="833" w:type="dxa"/>
            <w:tcBorders>
              <w:top w:val="single" w:color="000000" w:sz="8" w:space="0"/>
              <w:left w:val="single" w:color="000000" w:sz="8" w:space="0"/>
              <w:bottom w:val="single" w:color="000000" w:sz="8" w:space="0"/>
              <w:right w:val="single" w:color="000000" w:sz="8" w:space="0"/>
            </w:tcBorders>
          </w:tcPr>
          <w:p>
            <w:pPr>
              <w:jc w:val="center"/>
              <w:rPr>
                <w:rFonts w:ascii="Times New Roman" w:hAnsi="Times New Roman" w:eastAsia="仿宋" w:cs="Times New Roman"/>
                <w:szCs w:val="21"/>
              </w:rPr>
            </w:pPr>
            <w:r>
              <w:rPr>
                <w:rFonts w:hint="eastAsia" w:ascii="Times New Roman" w:hAnsi="Times New Roman" w:eastAsia="仿宋" w:cs="Times New Roman"/>
                <w:szCs w:val="21"/>
              </w:rPr>
              <w:t>资产评估报告统一编码</w:t>
            </w:r>
          </w:p>
        </w:tc>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报告编号</w:t>
            </w:r>
          </w:p>
        </w:tc>
        <w:tc>
          <w:tcPr>
            <w:tcW w:w="118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报告名称</w:t>
            </w:r>
          </w:p>
        </w:tc>
        <w:tc>
          <w:tcPr>
            <w:tcW w:w="1021" w:type="dxa"/>
            <w:tcBorders>
              <w:top w:val="single" w:color="000000" w:sz="8" w:space="0"/>
              <w:left w:val="single" w:color="000000" w:sz="8" w:space="0"/>
              <w:bottom w:val="single" w:color="000000" w:sz="8" w:space="0"/>
              <w:right w:val="single" w:color="000000" w:sz="8" w:space="0"/>
            </w:tcBorders>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hint="eastAsia" w:ascii="Times New Roman" w:hAnsi="Times New Roman" w:eastAsia="仿宋" w:cs="Times New Roman"/>
                <w:szCs w:val="21"/>
              </w:rPr>
              <w:t>承做部门/分公司</w:t>
            </w:r>
          </w:p>
        </w:tc>
        <w:tc>
          <w:tcPr>
            <w:tcW w:w="1021"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评估目的</w:t>
            </w:r>
          </w:p>
        </w:tc>
        <w:tc>
          <w:tcPr>
            <w:tcW w:w="93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评估基准日</w:t>
            </w:r>
          </w:p>
          <w:p>
            <w:pPr>
              <w:jc w:val="center"/>
              <w:rPr>
                <w:rFonts w:ascii="Times New Roman" w:hAnsi="Times New Roman" w:eastAsia="仿宋" w:cs="Times New Roman"/>
                <w:szCs w:val="21"/>
              </w:rPr>
            </w:pPr>
            <w:r>
              <w:rPr>
                <w:rFonts w:ascii="Times New Roman" w:hAnsi="Times New Roman" w:eastAsia="仿宋" w:cs="Times New Roman"/>
                <w:szCs w:val="21"/>
              </w:rPr>
              <w:t>（yyyy-mm-dd)</w:t>
            </w:r>
          </w:p>
        </w:tc>
        <w:tc>
          <w:tcPr>
            <w:tcW w:w="966"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报告日（yyyy- mm-dd)</w:t>
            </w:r>
          </w:p>
        </w:tc>
        <w:tc>
          <w:tcPr>
            <w:tcW w:w="81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委托方</w:t>
            </w:r>
          </w:p>
        </w:tc>
        <w:tc>
          <w:tcPr>
            <w:tcW w:w="1021"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评估对象</w:t>
            </w:r>
          </w:p>
        </w:tc>
        <w:tc>
          <w:tcPr>
            <w:tcW w:w="124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账面净资产</w:t>
            </w:r>
          </w:p>
        </w:tc>
        <w:tc>
          <w:tcPr>
            <w:tcW w:w="1021"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价值类型</w:t>
            </w:r>
          </w:p>
        </w:tc>
        <w:tc>
          <w:tcPr>
            <w:tcW w:w="102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评估方法</w:t>
            </w:r>
          </w:p>
        </w:tc>
        <w:tc>
          <w:tcPr>
            <w:tcW w:w="1006"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评估结论对应的评估方法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1"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96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81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2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c>
          <w:tcPr>
            <w:tcW w:w="10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0"/>
              </w:rPr>
            </w:pPr>
          </w:p>
        </w:tc>
      </w:tr>
    </w:tbl>
    <w:p>
      <w:pPr>
        <w:widowControl/>
        <w:jc w:val="left"/>
        <w:rPr>
          <w:rFonts w:ascii="Times New Roman" w:hAnsi="Times New Roman" w:eastAsia="仿宋" w:cs="Times New Roman"/>
          <w:kern w:val="0"/>
          <w:sz w:val="20"/>
        </w:rPr>
        <w:sectPr>
          <w:pgSz w:w="16840" w:h="11910" w:orient="landscape"/>
          <w:pgMar w:top="1100" w:right="1841" w:bottom="280" w:left="1560" w:header="720" w:footer="720" w:gutter="0"/>
          <w:cols w:space="720" w:num="1"/>
        </w:sectPr>
      </w:pPr>
    </w:p>
    <w:p>
      <w:pPr>
        <w:jc w:val="center"/>
        <w:rPr>
          <w:rFonts w:ascii="Times New Roman" w:hAnsi="Times New Roman" w:eastAsia="仿宋" w:cs="Times New Roman"/>
          <w:b/>
          <w:kern w:val="0"/>
          <w:sz w:val="44"/>
          <w:szCs w:val="44"/>
        </w:rPr>
      </w:pPr>
    </w:p>
    <w:p>
      <w:pPr>
        <w:pStyle w:val="3"/>
        <w:tabs>
          <w:tab w:val="left" w:pos="1134"/>
        </w:tabs>
        <w:adjustRightInd w:val="0"/>
        <w:snapToGrid w:val="0"/>
        <w:spacing w:before="0" w:after="0" w:line="360" w:lineRule="auto"/>
        <w:ind w:firstLine="424" w:firstLineChars="96"/>
        <w:textAlignment w:val="baseline"/>
        <w:rPr>
          <w:rFonts w:ascii="仿宋" w:hAnsi="仿宋" w:eastAsia="仿宋" w:cs="Times New Roman"/>
          <w:bCs/>
          <w:kern w:val="0"/>
          <w:sz w:val="44"/>
          <w:szCs w:val="44"/>
        </w:rPr>
      </w:pPr>
      <w:bookmarkStart w:id="5" w:name="_Toc106980788"/>
      <w:r>
        <w:rPr>
          <w:rFonts w:ascii="仿宋" w:hAnsi="仿宋" w:eastAsia="仿宋" w:cs="Times New Roman"/>
          <w:bCs/>
          <w:kern w:val="0"/>
          <w:sz w:val="44"/>
          <w:szCs w:val="44"/>
        </w:rPr>
        <w:t>XXXX年度资产评估报告明细表</w:t>
      </w:r>
      <w:bookmarkEnd w:id="5"/>
    </w:p>
    <w:p>
      <w:pPr>
        <w:autoSpaceDE w:val="0"/>
        <w:autoSpaceDN w:val="0"/>
        <w:jc w:val="left"/>
        <w:rPr>
          <w:rFonts w:ascii="Times New Roman" w:hAnsi="Times New Roman" w:eastAsia="仿宋" w:cs="Times New Roman"/>
          <w:b/>
          <w:bCs/>
          <w:kern w:val="0"/>
          <w:sz w:val="17"/>
          <w:szCs w:val="23"/>
        </w:rPr>
      </w:pPr>
    </w:p>
    <w:p>
      <w:pPr>
        <w:rPr>
          <w:rFonts w:ascii="Times New Roman" w:hAnsi="Times New Roman" w:eastAsia="仿宋" w:cs="Times New Roman"/>
          <w:szCs w:val="21"/>
        </w:rPr>
      </w:pPr>
      <w:r>
        <w:rPr>
          <w:rFonts w:ascii="Times New Roman" w:hAnsi="Times New Roman" w:eastAsia="仿宋" w:cs="Times New Roman"/>
          <w:szCs w:val="21"/>
        </w:rPr>
        <w:t>资产评估机构：XXXXXXXXXX评估公司</w:t>
      </w:r>
      <w:r>
        <w:rPr>
          <w:rFonts w:ascii="Times New Roman" w:hAnsi="Times New Roman" w:eastAsia="仿宋" w:cs="Times New Roman"/>
          <w:szCs w:val="21"/>
        </w:rPr>
        <w:tab/>
      </w:r>
      <w:r>
        <w:rPr>
          <w:rFonts w:ascii="Times New Roman" w:hAnsi="Times New Roman" w:eastAsia="仿宋" w:cs="Times New Roman"/>
          <w:szCs w:val="21"/>
        </w:rPr>
        <w:t xml:space="preserve">                                        填表日期：</w:t>
      </w:r>
      <w:r>
        <w:rPr>
          <w:rFonts w:ascii="Times New Roman" w:hAnsi="Times New Roman" w:eastAsia="仿宋" w:cs="Times New Roman"/>
          <w:szCs w:val="21"/>
        </w:rPr>
        <w:tab/>
      </w:r>
      <w:r>
        <w:rPr>
          <w:rFonts w:ascii="Times New Roman" w:hAnsi="Times New Roman" w:eastAsia="仿宋" w:cs="Times New Roman"/>
          <w:szCs w:val="21"/>
        </w:rPr>
        <w:t xml:space="preserve">                    填表人：</w:t>
      </w:r>
    </w:p>
    <w:tbl>
      <w:tblPr>
        <w:tblStyle w:val="25"/>
        <w:tblW w:w="14242" w:type="dxa"/>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06"/>
        <w:gridCol w:w="974"/>
        <w:gridCol w:w="1230"/>
        <w:gridCol w:w="1184"/>
        <w:gridCol w:w="1414"/>
        <w:gridCol w:w="1494"/>
        <w:gridCol w:w="1484"/>
        <w:gridCol w:w="1244"/>
        <w:gridCol w:w="1319"/>
        <w:gridCol w:w="1033"/>
        <w:gridCol w:w="990"/>
        <w:gridCol w:w="11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2"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序号</w:t>
            </w:r>
          </w:p>
        </w:tc>
        <w:tc>
          <w:tcPr>
            <w:tcW w:w="974" w:type="dxa"/>
            <w:tcBorders>
              <w:top w:val="single" w:color="000000" w:sz="8" w:space="0"/>
              <w:left w:val="single" w:color="000000" w:sz="8" w:space="0"/>
              <w:bottom w:val="single" w:color="000000" w:sz="8" w:space="0"/>
              <w:right w:val="single" w:color="000000" w:sz="8" w:space="0"/>
            </w:tcBorders>
          </w:tcPr>
          <w:p>
            <w:pPr>
              <w:jc w:val="center"/>
              <w:rPr>
                <w:rFonts w:ascii="Times New Roman" w:hAnsi="Times New Roman" w:eastAsia="仿宋" w:cs="Times New Roman"/>
                <w:szCs w:val="21"/>
              </w:rPr>
            </w:pPr>
            <w:r>
              <w:rPr>
                <w:rFonts w:hint="eastAsia" w:ascii="Times New Roman" w:hAnsi="Times New Roman" w:eastAsia="仿宋" w:cs="Times New Roman"/>
                <w:szCs w:val="21"/>
              </w:rPr>
              <w:t>资产评估报告统一编码</w:t>
            </w:r>
          </w:p>
        </w:tc>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报告编号</w:t>
            </w:r>
          </w:p>
        </w:tc>
        <w:tc>
          <w:tcPr>
            <w:tcW w:w="118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报告名称</w:t>
            </w:r>
          </w:p>
        </w:tc>
        <w:tc>
          <w:tcPr>
            <w:tcW w:w="141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评估结论对应的评估值（万元）</w:t>
            </w:r>
          </w:p>
        </w:tc>
        <w:tc>
          <w:tcPr>
            <w:tcW w:w="149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评估委托合同签订日期（yyyy-mm-</w:t>
            </w:r>
          </w:p>
          <w:p>
            <w:pPr>
              <w:jc w:val="center"/>
              <w:rPr>
                <w:rFonts w:ascii="Times New Roman" w:hAnsi="Times New Roman" w:eastAsia="仿宋" w:cs="Times New Roman"/>
                <w:szCs w:val="21"/>
              </w:rPr>
            </w:pPr>
            <w:r>
              <w:rPr>
                <w:rFonts w:ascii="Times New Roman" w:hAnsi="Times New Roman" w:eastAsia="仿宋" w:cs="Times New Roman"/>
                <w:szCs w:val="21"/>
              </w:rPr>
              <w:t>dd)</w:t>
            </w:r>
          </w:p>
        </w:tc>
        <w:tc>
          <w:tcPr>
            <w:tcW w:w="148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资产评估委托合同编号</w:t>
            </w:r>
          </w:p>
        </w:tc>
        <w:tc>
          <w:tcPr>
            <w:tcW w:w="124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评估收费（万元）</w:t>
            </w:r>
          </w:p>
        </w:tc>
        <w:tc>
          <w:tcPr>
            <w:tcW w:w="1319"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是否重大资产重组项目</w:t>
            </w:r>
          </w:p>
        </w:tc>
        <w:tc>
          <w:tcPr>
            <w:tcW w:w="1033"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是否证券项目</w:t>
            </w:r>
          </w:p>
        </w:tc>
        <w:tc>
          <w:tcPr>
            <w:tcW w:w="99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是否国资项目</w:t>
            </w:r>
          </w:p>
        </w:tc>
        <w:tc>
          <w:tcPr>
            <w:tcW w:w="117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是否为涉及境外资产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1"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7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1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9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4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4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31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33"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9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7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bl>
    <w:p>
      <w:pPr>
        <w:widowControl/>
        <w:jc w:val="left"/>
        <w:rPr>
          <w:rFonts w:ascii="Times New Roman" w:hAnsi="Times New Roman" w:eastAsia="仿宋" w:cs="Times New Roman"/>
          <w:kern w:val="0"/>
          <w:sz w:val="18"/>
        </w:rPr>
        <w:sectPr>
          <w:pgSz w:w="16840" w:h="11910" w:orient="landscape"/>
          <w:pgMar w:top="1100" w:right="1841" w:bottom="280" w:left="1560" w:header="720" w:footer="720" w:gutter="0"/>
          <w:cols w:space="720" w:num="1"/>
        </w:sectPr>
      </w:pPr>
    </w:p>
    <w:p>
      <w:pPr>
        <w:autoSpaceDE w:val="0"/>
        <w:autoSpaceDN w:val="0"/>
        <w:jc w:val="left"/>
        <w:rPr>
          <w:rFonts w:ascii="Times New Roman" w:hAnsi="Times New Roman" w:eastAsia="仿宋" w:cs="Times New Roman"/>
          <w:b/>
          <w:bCs/>
          <w:kern w:val="0"/>
          <w:sz w:val="20"/>
          <w:szCs w:val="23"/>
        </w:rPr>
      </w:pPr>
    </w:p>
    <w:p>
      <w:pPr>
        <w:adjustRightInd w:val="0"/>
        <w:snapToGrid w:val="0"/>
        <w:spacing w:line="360" w:lineRule="auto"/>
        <w:jc w:val="center"/>
        <w:rPr>
          <w:rFonts w:ascii="仿宋" w:hAnsi="仿宋" w:eastAsia="仿宋" w:cs="Times New Roman"/>
          <w:b/>
          <w:bCs/>
          <w:kern w:val="0"/>
          <w:sz w:val="44"/>
          <w:szCs w:val="44"/>
        </w:rPr>
      </w:pPr>
      <w:r>
        <w:rPr>
          <w:rFonts w:ascii="仿宋" w:hAnsi="仿宋" w:eastAsia="仿宋" w:cs="Times New Roman"/>
          <w:b/>
          <w:bCs/>
          <w:kern w:val="0"/>
          <w:sz w:val="44"/>
          <w:szCs w:val="44"/>
        </w:rPr>
        <w:t>XXXX年度资产评估报告明细表</w:t>
      </w:r>
    </w:p>
    <w:p>
      <w:pPr>
        <w:autoSpaceDE w:val="0"/>
        <w:autoSpaceDN w:val="0"/>
        <w:jc w:val="left"/>
        <w:rPr>
          <w:rFonts w:ascii="Times New Roman" w:hAnsi="Times New Roman" w:eastAsia="仿宋" w:cs="Times New Roman"/>
          <w:b/>
          <w:bCs/>
          <w:kern w:val="0"/>
          <w:sz w:val="20"/>
          <w:szCs w:val="23"/>
        </w:rPr>
      </w:pPr>
    </w:p>
    <w:p>
      <w:pPr>
        <w:ind w:firstLine="1260" w:firstLineChars="600"/>
        <w:rPr>
          <w:rFonts w:ascii="Times New Roman" w:hAnsi="Times New Roman" w:eastAsia="仿宋" w:cs="Times New Roman"/>
          <w:szCs w:val="21"/>
        </w:rPr>
      </w:pPr>
      <w:r>
        <w:rPr>
          <w:rFonts w:ascii="Times New Roman" w:hAnsi="Times New Roman" w:eastAsia="仿宋" w:cs="Times New Roman"/>
          <w:szCs w:val="21"/>
        </w:rPr>
        <w:t>资产评估机构：XXXXXXXXXX评估公司</w:t>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填表日期：</w:t>
      </w:r>
      <w:r>
        <w:rPr>
          <w:rFonts w:ascii="Times New Roman" w:hAnsi="Times New Roman" w:eastAsia="仿宋" w:cs="Times New Roman"/>
          <w:szCs w:val="21"/>
        </w:rPr>
        <w:tab/>
      </w:r>
      <w:r>
        <w:rPr>
          <w:rFonts w:ascii="Times New Roman" w:hAnsi="Times New Roman" w:eastAsia="仿宋" w:cs="Times New Roman"/>
          <w:szCs w:val="21"/>
        </w:rPr>
        <w:t xml:space="preserve">                  填表人：</w:t>
      </w:r>
    </w:p>
    <w:tbl>
      <w:tblPr>
        <w:tblStyle w:val="2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06"/>
        <w:gridCol w:w="1230"/>
        <w:gridCol w:w="1230"/>
        <w:gridCol w:w="1184"/>
        <w:gridCol w:w="1004"/>
        <w:gridCol w:w="945"/>
        <w:gridCol w:w="961"/>
        <w:gridCol w:w="961"/>
        <w:gridCol w:w="909"/>
        <w:gridCol w:w="1965"/>
        <w:gridCol w:w="1067"/>
        <w:gridCol w:w="9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2" w:hRule="atLeast"/>
          <w:jc w:val="center"/>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序号</w:t>
            </w:r>
          </w:p>
        </w:tc>
        <w:tc>
          <w:tcPr>
            <w:tcW w:w="1230" w:type="dxa"/>
            <w:tcBorders>
              <w:top w:val="single" w:color="000000" w:sz="8" w:space="0"/>
              <w:left w:val="single" w:color="000000" w:sz="8" w:space="0"/>
              <w:bottom w:val="single" w:color="000000" w:sz="8" w:space="0"/>
              <w:right w:val="single" w:color="000000" w:sz="8" w:space="0"/>
            </w:tcBorders>
          </w:tcPr>
          <w:p>
            <w:pPr>
              <w:jc w:val="center"/>
              <w:rPr>
                <w:rFonts w:ascii="Times New Roman" w:hAnsi="Times New Roman" w:eastAsia="仿宋" w:cs="Times New Roman"/>
                <w:szCs w:val="21"/>
              </w:rPr>
            </w:pPr>
            <w:r>
              <w:rPr>
                <w:rFonts w:hint="eastAsia" w:ascii="Times New Roman" w:hAnsi="Times New Roman" w:eastAsia="仿宋" w:cs="Times New Roman"/>
                <w:szCs w:val="21"/>
              </w:rPr>
              <w:t>资产评估报告统一编码</w:t>
            </w:r>
          </w:p>
        </w:tc>
        <w:tc>
          <w:tcPr>
            <w:tcW w:w="1230"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报告编号</w:t>
            </w:r>
          </w:p>
        </w:tc>
        <w:tc>
          <w:tcPr>
            <w:tcW w:w="118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报告名称</w:t>
            </w:r>
          </w:p>
        </w:tc>
        <w:tc>
          <w:tcPr>
            <w:tcW w:w="1004"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一级审核人员</w:t>
            </w:r>
          </w:p>
        </w:tc>
        <w:tc>
          <w:tcPr>
            <w:tcW w:w="945"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二级审核人员</w:t>
            </w:r>
          </w:p>
        </w:tc>
        <w:tc>
          <w:tcPr>
            <w:tcW w:w="961"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三级审核人员</w:t>
            </w:r>
          </w:p>
        </w:tc>
        <w:tc>
          <w:tcPr>
            <w:tcW w:w="961"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签字资产评估师</w:t>
            </w:r>
            <w:r>
              <w:rPr>
                <w:rFonts w:hint="eastAsia" w:ascii="Times New Roman" w:hAnsi="Times New Roman" w:eastAsia="仿宋" w:cs="Times New Roman"/>
                <w:szCs w:val="21"/>
              </w:rPr>
              <w:t>1</w:t>
            </w:r>
          </w:p>
        </w:tc>
        <w:tc>
          <w:tcPr>
            <w:tcW w:w="909" w:type="dxa"/>
            <w:tcBorders>
              <w:top w:val="single" w:color="000000" w:sz="8" w:space="0"/>
              <w:left w:val="single" w:color="000000" w:sz="8" w:space="0"/>
              <w:bottom w:val="single" w:color="000000" w:sz="8" w:space="0"/>
              <w:right w:val="single" w:color="000000" w:sz="8" w:space="0"/>
            </w:tcBorders>
          </w:tcPr>
          <w:p>
            <w:pPr>
              <w:jc w:val="center"/>
              <w:rPr>
                <w:rFonts w:ascii="Times New Roman" w:hAnsi="Times New Roman" w:eastAsia="仿宋" w:cs="Times New Roman"/>
                <w:szCs w:val="21"/>
              </w:rPr>
            </w:pPr>
            <w:r>
              <w:rPr>
                <w:rFonts w:hint="eastAsia" w:ascii="Times New Roman" w:hAnsi="Times New Roman" w:eastAsia="仿宋" w:cs="Times New Roman"/>
                <w:szCs w:val="21"/>
              </w:rPr>
              <w:t>签字资产评估师2</w:t>
            </w:r>
          </w:p>
        </w:tc>
        <w:tc>
          <w:tcPr>
            <w:tcW w:w="1965"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业务类型（整体/单项</w:t>
            </w:r>
          </w:p>
          <w:p>
            <w:pPr>
              <w:jc w:val="center"/>
              <w:rPr>
                <w:rFonts w:ascii="Times New Roman" w:hAnsi="Times New Roman" w:eastAsia="仿宋" w:cs="Times New Roman"/>
                <w:szCs w:val="21"/>
              </w:rPr>
            </w:pPr>
            <w:r>
              <w:rPr>
                <w:rFonts w:ascii="Times New Roman" w:hAnsi="Times New Roman" w:eastAsia="仿宋" w:cs="Times New Roman"/>
                <w:szCs w:val="21"/>
              </w:rPr>
              <w:t>/无形资产）</w:t>
            </w:r>
          </w:p>
        </w:tc>
        <w:tc>
          <w:tcPr>
            <w:tcW w:w="1067"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档案册数</w:t>
            </w:r>
          </w:p>
        </w:tc>
        <w:tc>
          <w:tcPr>
            <w:tcW w:w="945" w:type="dxa"/>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1"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706"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230"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18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04"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61"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09"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96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1067"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c>
          <w:tcPr>
            <w:tcW w:w="945" w:type="dxa"/>
            <w:tcBorders>
              <w:top w:val="single" w:color="000000" w:sz="8" w:space="0"/>
              <w:left w:val="single" w:color="000000" w:sz="8" w:space="0"/>
              <w:bottom w:val="single" w:color="000000" w:sz="8" w:space="0"/>
              <w:right w:val="single" w:color="000000" w:sz="8" w:space="0"/>
            </w:tcBorders>
          </w:tcPr>
          <w:p>
            <w:pPr>
              <w:jc w:val="left"/>
              <w:rPr>
                <w:rFonts w:ascii="Times New Roman" w:hAnsi="Times New Roman" w:eastAsia="仿宋" w:cs="Times New Roman"/>
                <w:kern w:val="0"/>
                <w:sz w:val="22"/>
              </w:rPr>
            </w:pPr>
          </w:p>
        </w:tc>
      </w:tr>
    </w:tbl>
    <w:p>
      <w:pPr>
        <w:autoSpaceDE w:val="0"/>
        <w:autoSpaceDN w:val="0"/>
        <w:jc w:val="left"/>
        <w:rPr>
          <w:rFonts w:ascii="Times New Roman" w:hAnsi="Times New Roman" w:eastAsia="仿宋" w:cs="Times New Roman"/>
          <w:kern w:val="0"/>
          <w:sz w:val="22"/>
        </w:rPr>
      </w:pPr>
    </w:p>
    <w:p>
      <w:pPr>
        <w:autoSpaceDE w:val="0"/>
        <w:autoSpaceDN w:val="0"/>
        <w:spacing w:before="8"/>
        <w:jc w:val="left"/>
        <w:rPr>
          <w:rFonts w:ascii="Times New Roman" w:hAnsi="Times New Roman" w:eastAsia="仿宋" w:cs="Times New Roman"/>
          <w:bCs/>
          <w:kern w:val="0"/>
          <w:sz w:val="17"/>
          <w:szCs w:val="24"/>
        </w:rPr>
        <w:sectPr>
          <w:pgSz w:w="16840" w:h="11910" w:orient="landscape"/>
          <w:pgMar w:top="1100" w:right="1841" w:bottom="280" w:left="1560" w:header="720" w:footer="720" w:gutter="0"/>
          <w:cols w:space="720" w:num="1"/>
        </w:sectPr>
      </w:pPr>
      <w:r>
        <w:rPr>
          <w:rFonts w:hint="eastAsia" w:ascii="Times New Roman" w:hAnsi="Times New Roman" w:eastAsia="仿宋" w:cs="Times New Roman"/>
          <w:bCs/>
          <w:kern w:val="0"/>
          <w:sz w:val="17"/>
          <w:szCs w:val="24"/>
        </w:rPr>
        <w:t>备注：签字资产评估师超过两位，请自行增加列数。</w:t>
      </w:r>
    </w:p>
    <w:p>
      <w:pPr>
        <w:jc w:val="left"/>
        <w:rPr>
          <w:rFonts w:ascii="Times New Roman" w:hAnsi="Times New Roman" w:eastAsia="仿宋" w:cs="Times New Roman"/>
          <w:sz w:val="30"/>
          <w:szCs w:val="30"/>
          <w:lang w:eastAsia="en-US"/>
        </w:rPr>
      </w:pPr>
      <w:r>
        <w:rPr>
          <w:rFonts w:ascii="Times New Roman" w:hAnsi="Times New Roman" w:eastAsia="仿宋" w:cs="Times New Roman"/>
          <w:sz w:val="30"/>
          <w:szCs w:val="30"/>
          <w:lang w:eastAsia="en-US"/>
        </w:rPr>
        <w:t>附表</w:t>
      </w:r>
    </w:p>
    <w:p>
      <w:pPr>
        <w:jc w:val="center"/>
        <w:rPr>
          <w:rFonts w:ascii="Times New Roman" w:hAnsi="Times New Roman" w:eastAsia="仿宋" w:cs="Times New Roman"/>
          <w:b/>
          <w:kern w:val="0"/>
          <w:sz w:val="44"/>
          <w:szCs w:val="44"/>
        </w:rPr>
      </w:pPr>
      <w:r>
        <w:rPr>
          <w:rFonts w:ascii="Times New Roman" w:hAnsi="Times New Roman" w:eastAsia="仿宋" w:cs="Times New Roman"/>
          <w:b/>
          <w:kern w:val="0"/>
          <w:sz w:val="44"/>
          <w:szCs w:val="44"/>
        </w:rPr>
        <w:t>机构内部管理和质量控制制度目录</w:t>
      </w:r>
    </w:p>
    <w:p>
      <w:pPr>
        <w:rPr>
          <w:rFonts w:ascii="Times New Roman" w:hAnsi="Times New Roman" w:eastAsia="仿宋" w:cs="Times New Roman"/>
          <w:szCs w:val="24"/>
        </w:rPr>
      </w:pPr>
    </w:p>
    <w:p>
      <w:pPr>
        <w:jc w:val="left"/>
        <w:rPr>
          <w:rFonts w:ascii="Times New Roman" w:hAnsi="Times New Roman" w:eastAsia="仿宋" w:cs="Times New Roman"/>
          <w:szCs w:val="21"/>
          <w:lang w:eastAsia="en-US"/>
        </w:rPr>
      </w:pPr>
      <w:r>
        <w:rPr>
          <w:rFonts w:hint="eastAsia" w:ascii="Times New Roman" w:hAnsi="Times New Roman" w:eastAsia="仿宋" w:cs="Times New Roman"/>
          <w:szCs w:val="21"/>
          <w:lang w:eastAsia="zh-CN"/>
        </w:rPr>
        <w:t>自查</w:t>
      </w:r>
      <w:r>
        <w:rPr>
          <w:rFonts w:ascii="Times New Roman" w:hAnsi="Times New Roman" w:eastAsia="仿宋" w:cs="Times New Roman"/>
          <w:szCs w:val="21"/>
          <w:lang w:eastAsia="en-US"/>
        </w:rPr>
        <w:t>单位名称：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Align w:val="center"/>
          </w:tcPr>
          <w:p>
            <w:pPr>
              <w:jc w:val="center"/>
              <w:rPr>
                <w:rFonts w:ascii="Times New Roman" w:hAnsi="Times New Roman" w:eastAsia="仿宋" w:cs="Times New Roman"/>
                <w:szCs w:val="21"/>
                <w:lang w:eastAsia="en-US"/>
              </w:rPr>
            </w:pPr>
            <w:r>
              <w:rPr>
                <w:rFonts w:ascii="Times New Roman" w:hAnsi="Times New Roman" w:eastAsia="仿宋" w:cs="Times New Roman"/>
                <w:szCs w:val="21"/>
                <w:lang w:eastAsia="en-US"/>
              </w:rPr>
              <w:t>序号</w:t>
            </w:r>
          </w:p>
        </w:tc>
        <w:tc>
          <w:tcPr>
            <w:tcW w:w="8013" w:type="dxa"/>
            <w:vAlign w:val="center"/>
          </w:tcPr>
          <w:p>
            <w:pPr>
              <w:jc w:val="center"/>
              <w:rPr>
                <w:rFonts w:ascii="Times New Roman" w:hAnsi="Times New Roman" w:eastAsia="仿宋" w:cs="Times New Roman"/>
                <w:szCs w:val="21"/>
                <w:lang w:eastAsia="en-US"/>
              </w:rPr>
            </w:pPr>
            <w:r>
              <w:rPr>
                <w:rFonts w:ascii="Times New Roman" w:hAnsi="Times New Roman" w:eastAsia="仿宋" w:cs="Times New Roman"/>
                <w:szCs w:val="21"/>
                <w:lang w:eastAsia="en-US"/>
              </w:rPr>
              <w:t>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rPr>
                <w:rFonts w:ascii="Times New Roman" w:hAnsi="Times New Roman" w:eastAsia="仿宋" w:cs="Times New Roman"/>
                <w:kern w:val="0"/>
                <w:szCs w:val="21"/>
              </w:rPr>
            </w:pPr>
          </w:p>
        </w:tc>
        <w:tc>
          <w:tcPr>
            <w:tcW w:w="8013" w:type="dxa"/>
          </w:tcPr>
          <w:p>
            <w:pPr>
              <w:rPr>
                <w:rFonts w:ascii="Times New Roman" w:hAnsi="Times New Roman" w:eastAsia="仿宋" w:cs="Times New Roman"/>
                <w:kern w:val="0"/>
                <w:szCs w:val="21"/>
              </w:rPr>
            </w:pPr>
            <w:r>
              <w:rPr>
                <w:rFonts w:ascii="Times New Roman" w:hAnsi="Times New Roman" w:eastAsia="仿宋" w:cs="Times New Roman"/>
                <w:szCs w:val="21"/>
                <w:lang w:eastAsia="en-US"/>
              </w:rPr>
              <w:t xml:space="preserve">注：含分支机构管理制度文件  </w:t>
            </w:r>
          </w:p>
        </w:tc>
      </w:tr>
    </w:tbl>
    <w:p>
      <w:pPr>
        <w:rPr>
          <w:rFonts w:ascii="Times New Roman" w:hAnsi="Times New Roman" w:eastAsia="仿宋" w:cs="Times New Roman"/>
        </w:rPr>
        <w:sectPr>
          <w:pgSz w:w="11906" w:h="16838"/>
          <w:pgMar w:top="1440" w:right="1841" w:bottom="1440" w:left="1560" w:header="851" w:footer="992" w:gutter="0"/>
          <w:cols w:space="425" w:num="1"/>
          <w:docGrid w:type="lines" w:linePitch="312" w:charSpace="0"/>
        </w:sectPr>
      </w:pPr>
      <w:r>
        <w:rPr>
          <w:rFonts w:ascii="Times New Roman" w:hAnsi="Times New Roman" w:eastAsia="仿宋" w:cs="Times New Roman"/>
          <w:szCs w:val="21"/>
        </w:rPr>
        <w:t xml:space="preserve"> </w:t>
      </w:r>
      <w:r>
        <w:rPr>
          <w:rFonts w:hint="eastAsia" w:ascii="Times New Roman" w:hAnsi="Times New Roman" w:eastAsia="仿宋" w:cs="Times New Roman"/>
          <w:szCs w:val="21"/>
          <w:lang w:eastAsia="zh-CN"/>
        </w:rPr>
        <w:t>自查</w:t>
      </w:r>
      <w:r>
        <w:rPr>
          <w:rFonts w:ascii="Times New Roman" w:hAnsi="Times New Roman" w:eastAsia="仿宋" w:cs="Times New Roman"/>
          <w:szCs w:val="21"/>
        </w:rPr>
        <w:t xml:space="preserve">人员：                                           </w:t>
      </w:r>
      <w:r>
        <w:rPr>
          <w:rFonts w:hint="eastAsia" w:ascii="Times New Roman" w:hAnsi="Times New Roman" w:eastAsia="仿宋" w:cs="Times New Roman"/>
          <w:szCs w:val="21"/>
          <w:lang w:eastAsia="zh-CN"/>
        </w:rPr>
        <w:t>自查</w:t>
      </w:r>
      <w:r>
        <w:rPr>
          <w:rFonts w:ascii="Times New Roman" w:hAnsi="Times New Roman" w:eastAsia="仿宋" w:cs="Times New Roman"/>
          <w:szCs w:val="21"/>
        </w:rPr>
        <w:t>时间：</w:t>
      </w:r>
    </w:p>
    <w:p>
      <w:pPr>
        <w:widowControl/>
        <w:spacing w:line="360" w:lineRule="auto"/>
        <w:jc w:val="left"/>
        <w:rPr>
          <w:rFonts w:ascii="Times New Roman" w:hAnsi="Times New Roman" w:eastAsia="仿宋" w:cs="Times New Roman"/>
          <w:sz w:val="24"/>
          <w:szCs w:val="28"/>
        </w:rPr>
        <w:sectPr>
          <w:pgSz w:w="11906" w:h="16838"/>
          <w:pgMar w:top="1440" w:right="1841" w:bottom="1440" w:left="1560" w:header="851" w:footer="992" w:gutter="0"/>
          <w:cols w:space="425" w:num="1"/>
          <w:docGrid w:type="lines" w:linePitch="312" w:charSpace="0"/>
        </w:sectPr>
      </w:pPr>
    </w:p>
    <w:p>
      <w:pPr>
        <w:pStyle w:val="3"/>
        <w:tabs>
          <w:tab w:val="left" w:pos="1134"/>
        </w:tabs>
        <w:adjustRightInd w:val="0"/>
        <w:snapToGrid w:val="0"/>
        <w:spacing w:before="0" w:after="0" w:line="360" w:lineRule="auto"/>
        <w:textAlignment w:val="baseline"/>
        <w:rPr>
          <w:rFonts w:ascii="仿宋" w:hAnsi="仿宋" w:eastAsia="仿宋" w:cs="Times New Roman"/>
          <w:bCs/>
          <w:kern w:val="0"/>
          <w:sz w:val="44"/>
          <w:szCs w:val="44"/>
        </w:rPr>
      </w:pPr>
      <w:bookmarkStart w:id="6" w:name="_Toc70262740"/>
      <w:bookmarkStart w:id="7" w:name="_Toc106980799"/>
      <w:r>
        <w:rPr>
          <w:rFonts w:ascii="仿宋" w:hAnsi="仿宋" w:eastAsia="仿宋" w:cs="Times New Roman"/>
          <w:bCs/>
          <w:kern w:val="0"/>
          <w:sz w:val="44"/>
          <w:szCs w:val="44"/>
        </w:rPr>
        <w:t>评估报告检查底稿</w:t>
      </w:r>
      <w:bookmarkEnd w:id="6"/>
      <w:bookmarkEnd w:id="7"/>
    </w:p>
    <w:p>
      <w:pPr>
        <w:jc w:val="center"/>
        <w:outlineLvl w:val="2"/>
        <w:rPr>
          <w:rFonts w:ascii="Times New Roman" w:hAnsi="Times New Roman" w:eastAsia="仿宋" w:cs="Times New Roman"/>
          <w:b/>
          <w:kern w:val="0"/>
          <w:sz w:val="36"/>
          <w:szCs w:val="36"/>
        </w:rPr>
      </w:pPr>
      <w:bookmarkStart w:id="8" w:name="_Toc70262741"/>
      <w:bookmarkStart w:id="9" w:name="_Toc106980800"/>
      <w:r>
        <w:rPr>
          <w:rStyle w:val="31"/>
          <w:rFonts w:ascii="Times New Roman" w:hAnsi="Times New Roman" w:eastAsia="仿宋"/>
          <w:b w:val="0"/>
        </w:rPr>
        <w:t xml:space="preserve">表4-0 </w:t>
      </w:r>
      <w:r>
        <w:rPr>
          <w:rStyle w:val="31"/>
          <w:rFonts w:ascii="Times New Roman" w:hAnsi="Times New Roman" w:eastAsia="仿宋" w:cs="Times New Roman"/>
          <w:szCs w:val="36"/>
        </w:rPr>
        <w:t>资产评估业务基本情况表</w:t>
      </w:r>
      <w:bookmarkEnd w:id="8"/>
      <w:bookmarkEnd w:id="9"/>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（单项资产评估业务□  资产组合评估业务□</w:t>
      </w:r>
      <w:r>
        <w:rPr>
          <w:rFonts w:ascii="Times New Roman" w:hAnsi="Times New Roman" w:eastAsia="仿宋" w:cs="Times New Roman"/>
          <w:sz w:val="24"/>
          <w:szCs w:val="24"/>
        </w:rPr>
        <w:tab/>
      </w:r>
      <w:r>
        <w:rPr>
          <w:rFonts w:ascii="Times New Roman" w:hAnsi="Times New Roman" w:eastAsia="仿宋" w:cs="Times New Roman"/>
          <w:sz w:val="24"/>
          <w:szCs w:val="24"/>
        </w:rPr>
        <w:t>企业价值评估业务□</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无形资产评估业务</w:t>
      </w:r>
      <w:r>
        <w:rPr>
          <w:rFonts w:ascii="Times New Roman" w:hAnsi="Times New Roman" w:eastAsia="仿宋" w:cs="Times New Roman"/>
          <w:sz w:val="24"/>
          <w:szCs w:val="24"/>
        </w:rPr>
        <w:sym w:font="Wingdings 2" w:char="00A3"/>
      </w:r>
      <w:r>
        <w:rPr>
          <w:rFonts w:ascii="Times New Roman" w:hAnsi="Times New Roman" w:eastAsia="仿宋" w:cs="Times New Roman"/>
          <w:sz w:val="24"/>
          <w:szCs w:val="24"/>
        </w:rPr>
        <w:t xml:space="preserve"> 以财务报告为目的业务</w:t>
      </w:r>
      <w:r>
        <w:rPr>
          <w:rFonts w:ascii="Times New Roman" w:hAnsi="Times New Roman" w:eastAsia="仿宋" w:cs="Times New Roman"/>
          <w:sz w:val="24"/>
          <w:szCs w:val="24"/>
        </w:rPr>
        <w:sym w:font="Wingdings 2" w:char="00A3"/>
      </w:r>
      <w:r>
        <w:rPr>
          <w:rFonts w:ascii="Times New Roman" w:hAnsi="Times New Roman" w:eastAsia="仿宋" w:cs="Times New Roman"/>
          <w:sz w:val="24"/>
          <w:szCs w:val="24"/>
        </w:rPr>
        <w:t>）</w:t>
      </w:r>
    </w:p>
    <w:p>
      <w:pPr>
        <w:ind w:firstLine="240" w:firstLineChars="100"/>
        <w:rPr>
          <w:rFonts w:ascii="Times New Roman" w:hAnsi="Times New Roman" w:eastAsia="仿宋" w:cs="Times New Roman"/>
          <w:sz w:val="24"/>
          <w:szCs w:val="24"/>
        </w:rPr>
      </w:pPr>
      <w:r>
        <w:rPr>
          <w:rFonts w:ascii="Times New Roman" w:hAnsi="Times New Roman" w:eastAsia="仿宋" w:cs="Times New Roman"/>
          <w:sz w:val="24"/>
          <w:szCs w:val="24"/>
        </w:rPr>
        <w:t>被检查单位名称：</w:t>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金额单位：万元</w:t>
      </w:r>
    </w:p>
    <w:tbl>
      <w:tblPr>
        <w:tblStyle w:val="25"/>
        <w:tblW w:w="88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05"/>
        <w:gridCol w:w="1581"/>
        <w:gridCol w:w="2493"/>
        <w:gridCol w:w="463"/>
        <w:gridCol w:w="2005"/>
        <w:gridCol w:w="18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1</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报告名称</w:t>
            </w:r>
          </w:p>
        </w:tc>
        <w:tc>
          <w:tcPr>
            <w:tcW w:w="6804" w:type="dxa"/>
            <w:gridSpan w:val="4"/>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2</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报告文号</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3</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是否证券业务</w:t>
            </w:r>
          </w:p>
        </w:tc>
        <w:tc>
          <w:tcPr>
            <w:tcW w:w="1843" w:type="dxa"/>
            <w:vAlign w:val="center"/>
          </w:tcPr>
          <w:p>
            <w:pPr>
              <w:jc w:val="center"/>
              <w:rPr>
                <w:rFonts w:ascii="Times New Roman" w:hAnsi="Times New Roman" w:eastAsia="仿宋"/>
                <w:sz w:val="24"/>
                <w:szCs w:val="24"/>
              </w:rPr>
            </w:pPr>
            <w:r>
              <w:rPr>
                <w:rFonts w:ascii="Times New Roman" w:hAnsi="Times New Roman" w:eastAsia="仿宋"/>
                <w:sz w:val="24"/>
                <w:szCs w:val="24"/>
              </w:rPr>
              <w:t>是□否□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4</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委托方</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5</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被评估单位</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5"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6</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评估目的</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7</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评估对象</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8</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价值类型</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9</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评估方法</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10</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评估基准日</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11</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签字评估师或评估专业人员</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1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12</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评估报告日期</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13</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项目合作单位</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14</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账面值</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15</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评估值</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16</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增值额</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17</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增值率（％）</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18</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参与评估人数</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19</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审计单位</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6"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20</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引用报告名称</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21</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引用报告出具单位</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5"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22</w:t>
            </w:r>
          </w:p>
        </w:tc>
        <w:tc>
          <w:tcPr>
            <w:tcW w:w="1581" w:type="dxa"/>
            <w:vAlign w:val="center"/>
          </w:tcPr>
          <w:p>
            <w:pPr>
              <w:jc w:val="center"/>
              <w:rPr>
                <w:rFonts w:ascii="Times New Roman" w:hAnsi="Times New Roman" w:eastAsia="仿宋"/>
                <w:sz w:val="24"/>
                <w:szCs w:val="24"/>
              </w:rPr>
            </w:pPr>
            <w:r>
              <w:rPr>
                <w:rFonts w:ascii="Times New Roman" w:hAnsi="Times New Roman" w:eastAsia="仿宋"/>
                <w:sz w:val="24"/>
                <w:szCs w:val="24"/>
              </w:rPr>
              <w:t>收费金额</w:t>
            </w:r>
          </w:p>
        </w:tc>
        <w:tc>
          <w:tcPr>
            <w:tcW w:w="2493" w:type="dxa"/>
            <w:vAlign w:val="center"/>
          </w:tcPr>
          <w:p>
            <w:pPr>
              <w:jc w:val="center"/>
              <w:rPr>
                <w:rFonts w:ascii="Times New Roman" w:hAnsi="Times New Roman" w:eastAsia="仿宋"/>
                <w:sz w:val="24"/>
                <w:szCs w:val="24"/>
              </w:rPr>
            </w:pPr>
          </w:p>
        </w:tc>
        <w:tc>
          <w:tcPr>
            <w:tcW w:w="463" w:type="dxa"/>
            <w:vAlign w:val="center"/>
          </w:tcPr>
          <w:p>
            <w:pPr>
              <w:jc w:val="center"/>
              <w:rPr>
                <w:rFonts w:ascii="Times New Roman" w:hAnsi="Times New Roman" w:eastAsia="仿宋"/>
                <w:sz w:val="24"/>
                <w:szCs w:val="24"/>
              </w:rPr>
            </w:pPr>
            <w:r>
              <w:rPr>
                <w:rFonts w:ascii="Times New Roman" w:hAnsi="Times New Roman" w:eastAsia="仿宋"/>
                <w:sz w:val="24"/>
                <w:szCs w:val="24"/>
              </w:rPr>
              <w:t>23</w:t>
            </w:r>
          </w:p>
        </w:tc>
        <w:tc>
          <w:tcPr>
            <w:tcW w:w="2005" w:type="dxa"/>
            <w:vAlign w:val="center"/>
          </w:tcPr>
          <w:p>
            <w:pPr>
              <w:jc w:val="center"/>
              <w:rPr>
                <w:rFonts w:ascii="Times New Roman" w:hAnsi="Times New Roman" w:eastAsia="仿宋"/>
                <w:sz w:val="24"/>
                <w:szCs w:val="24"/>
              </w:rPr>
            </w:pPr>
            <w:r>
              <w:rPr>
                <w:rFonts w:ascii="Times New Roman" w:hAnsi="Times New Roman" w:eastAsia="仿宋"/>
                <w:sz w:val="24"/>
                <w:szCs w:val="24"/>
              </w:rPr>
              <w:t>检查统计分值</w:t>
            </w:r>
          </w:p>
        </w:tc>
        <w:tc>
          <w:tcPr>
            <w:tcW w:w="1843" w:type="dxa"/>
            <w:vAlign w:val="center"/>
          </w:tcPr>
          <w:p>
            <w:pPr>
              <w:jc w:val="center"/>
              <w:rPr>
                <w:rFonts w:ascii="Times New Roman" w:hAnsi="Times New Roman" w:eastAsia="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24</w:t>
            </w:r>
          </w:p>
        </w:tc>
        <w:tc>
          <w:tcPr>
            <w:tcW w:w="8385" w:type="dxa"/>
            <w:gridSpan w:val="5"/>
            <w:vAlign w:val="center"/>
          </w:tcPr>
          <w:p>
            <w:pPr>
              <w:jc w:val="center"/>
              <w:rPr>
                <w:rFonts w:ascii="Times New Roman" w:hAnsi="Times New Roman" w:eastAsia="仿宋"/>
                <w:sz w:val="24"/>
                <w:szCs w:val="24"/>
              </w:rPr>
            </w:pPr>
            <w:r>
              <w:rPr>
                <w:rFonts w:ascii="Times New Roman" w:hAnsi="Times New Roman" w:eastAsia="仿宋"/>
                <w:sz w:val="24"/>
                <w:szCs w:val="24"/>
              </w:rPr>
              <w:t>是否国有资产评估项目：是□否□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4" w:hRule="atLeast"/>
          <w:jc w:val="center"/>
        </w:trPr>
        <w:tc>
          <w:tcPr>
            <w:tcW w:w="505" w:type="dxa"/>
            <w:vAlign w:val="center"/>
          </w:tcPr>
          <w:p>
            <w:pPr>
              <w:jc w:val="center"/>
              <w:rPr>
                <w:rFonts w:ascii="Times New Roman" w:hAnsi="Times New Roman" w:eastAsia="仿宋"/>
                <w:sz w:val="24"/>
                <w:szCs w:val="24"/>
              </w:rPr>
            </w:pPr>
            <w:r>
              <w:rPr>
                <w:rFonts w:ascii="Times New Roman" w:hAnsi="Times New Roman" w:eastAsia="仿宋"/>
                <w:sz w:val="24"/>
                <w:szCs w:val="24"/>
              </w:rPr>
              <w:t>25</w:t>
            </w:r>
          </w:p>
        </w:tc>
        <w:tc>
          <w:tcPr>
            <w:tcW w:w="8385" w:type="dxa"/>
            <w:gridSpan w:val="5"/>
            <w:vAlign w:val="center"/>
          </w:tcPr>
          <w:p>
            <w:pPr>
              <w:jc w:val="center"/>
              <w:rPr>
                <w:rFonts w:ascii="Times New Roman" w:hAnsi="Times New Roman" w:eastAsia="仿宋"/>
                <w:sz w:val="24"/>
                <w:szCs w:val="24"/>
              </w:rPr>
            </w:pPr>
            <w:r>
              <w:rPr>
                <w:rFonts w:ascii="Times New Roman" w:hAnsi="Times New Roman" w:eastAsia="仿宋"/>
                <w:sz w:val="24"/>
                <w:szCs w:val="24"/>
              </w:rPr>
              <w:t>国有资产评估项目是否已核准或备案：是□否□</w:t>
            </w:r>
          </w:p>
        </w:tc>
      </w:tr>
    </w:tbl>
    <w:p>
      <w:pPr>
        <w:ind w:firstLine="420"/>
        <w:jc w:val="left"/>
        <w:rPr>
          <w:rFonts w:ascii="Times New Roman" w:hAnsi="Times New Roman" w:eastAsia="仿宋" w:cs="Times New Roman"/>
          <w:sz w:val="24"/>
          <w:szCs w:val="24"/>
        </w:rPr>
      </w:pP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人员：</w:t>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ascii="Times New Roman" w:hAnsi="Times New Roman" w:eastAsia="仿宋" w:cs="Times New Roman"/>
          <w:sz w:val="24"/>
          <w:szCs w:val="24"/>
        </w:rPr>
        <w:tab/>
      </w: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日期：</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备注： 1.</w:t>
      </w: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单项资产或资产组合评估业务时，账面值一栏填写账面</w:t>
      </w:r>
      <w:r>
        <w:rPr>
          <w:rFonts w:hint="eastAsia" w:ascii="Times New Roman" w:hAnsi="Times New Roman" w:eastAsia="仿宋" w:cs="Times New Roman"/>
          <w:sz w:val="24"/>
          <w:szCs w:val="24"/>
        </w:rPr>
        <w:t>净</w:t>
      </w:r>
      <w:r>
        <w:rPr>
          <w:rFonts w:ascii="Times New Roman" w:hAnsi="Times New Roman" w:eastAsia="仿宋" w:cs="Times New Roman"/>
          <w:sz w:val="24"/>
          <w:szCs w:val="24"/>
        </w:rPr>
        <w:t>值</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 2.</w:t>
      </w: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企业价值评估业务时，账面值一栏填写净资产账面值</w:t>
      </w:r>
    </w:p>
    <w:p>
      <w:pPr>
        <w:widowControl/>
        <w:jc w:val="left"/>
        <w:rPr>
          <w:rFonts w:ascii="Times New Roman" w:hAnsi="Times New Roman" w:eastAsia="仿宋" w:cs="Times New Roman"/>
          <w:sz w:val="24"/>
          <w:szCs w:val="24"/>
        </w:rPr>
      </w:pPr>
      <w:r>
        <w:rPr>
          <w:rFonts w:ascii="Times New Roman" w:hAnsi="Times New Roman" w:eastAsia="仿宋" w:cs="Times New Roman"/>
          <w:sz w:val="24"/>
          <w:szCs w:val="24"/>
        </w:rPr>
        <w:br w:type="page"/>
      </w:r>
    </w:p>
    <w:p>
      <w:pPr>
        <w:jc w:val="center"/>
        <w:rPr>
          <w:rFonts w:ascii="Times New Roman" w:hAnsi="Times New Roman" w:eastAsia="仿宋" w:cs="Times New Roman"/>
          <w:sz w:val="24"/>
          <w:szCs w:val="24"/>
        </w:rPr>
      </w:pPr>
    </w:p>
    <w:p>
      <w:pPr>
        <w:jc w:val="center"/>
        <w:outlineLvl w:val="2"/>
        <w:rPr>
          <w:rStyle w:val="31"/>
          <w:rFonts w:ascii="Times New Roman" w:hAnsi="Times New Roman" w:eastAsia="仿宋"/>
          <w:szCs w:val="36"/>
        </w:rPr>
      </w:pPr>
      <w:bookmarkStart w:id="10" w:name="_Toc70188527"/>
      <w:bookmarkStart w:id="11" w:name="_Toc70262742"/>
      <w:bookmarkStart w:id="12" w:name="_Toc106980801"/>
      <w:r>
        <w:rPr>
          <w:rStyle w:val="31"/>
          <w:rFonts w:ascii="Times New Roman" w:hAnsi="Times New Roman" w:eastAsia="仿宋"/>
          <w:b w:val="0"/>
          <w:szCs w:val="36"/>
        </w:rPr>
        <w:t>表4-1</w:t>
      </w:r>
      <w:bookmarkEnd w:id="10"/>
      <w:r>
        <w:rPr>
          <w:rStyle w:val="31"/>
          <w:rFonts w:ascii="Times New Roman" w:hAnsi="Times New Roman" w:eastAsia="仿宋"/>
          <w:b w:val="0"/>
          <w:szCs w:val="36"/>
        </w:rPr>
        <w:t xml:space="preserve"> </w:t>
      </w:r>
      <w:r>
        <w:rPr>
          <w:rStyle w:val="31"/>
          <w:rFonts w:ascii="Times New Roman" w:hAnsi="Times New Roman" w:eastAsia="仿宋"/>
          <w:szCs w:val="36"/>
        </w:rPr>
        <w:t>单项资产或资产组合评估业务</w:t>
      </w:r>
      <w:r>
        <w:rPr>
          <w:rStyle w:val="31"/>
          <w:rFonts w:hint="eastAsia" w:ascii="Times New Roman" w:hAnsi="Times New Roman" w:eastAsia="仿宋"/>
          <w:szCs w:val="36"/>
          <w:lang w:eastAsia="zh-CN"/>
        </w:rPr>
        <w:t>自查</w:t>
      </w:r>
      <w:r>
        <w:rPr>
          <w:rStyle w:val="31"/>
          <w:rFonts w:ascii="Times New Roman" w:hAnsi="Times New Roman" w:eastAsia="仿宋"/>
          <w:szCs w:val="36"/>
        </w:rPr>
        <w:t>底稿</w:t>
      </w:r>
      <w:bookmarkEnd w:id="11"/>
      <w:bookmarkEnd w:id="12"/>
    </w:p>
    <w:p>
      <w:pPr>
        <w:jc w:val="left"/>
        <w:rPr>
          <w:rFonts w:ascii="Times New Roman" w:hAnsi="Times New Roman" w:eastAsia="仿宋" w:cs="Times New Roman"/>
          <w:sz w:val="24"/>
          <w:szCs w:val="24"/>
        </w:rPr>
      </w:pP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（单项资产评估业务□  资产组合评估业务□）</w:t>
      </w:r>
    </w:p>
    <w:tbl>
      <w:tblPr>
        <w:tblStyle w:val="25"/>
        <w:tblW w:w="5000" w:type="pct"/>
        <w:tblInd w:w="0" w:type="dxa"/>
        <w:tblLayout w:type="fixed"/>
        <w:tblCellMar>
          <w:top w:w="0" w:type="dxa"/>
          <w:left w:w="108" w:type="dxa"/>
          <w:bottom w:w="0" w:type="dxa"/>
          <w:right w:w="108" w:type="dxa"/>
        </w:tblCellMar>
      </w:tblPr>
      <w:tblGrid>
        <w:gridCol w:w="753"/>
        <w:gridCol w:w="6269"/>
        <w:gridCol w:w="1169"/>
        <w:gridCol w:w="530"/>
      </w:tblGrid>
      <w:tr>
        <w:tblPrEx>
          <w:tblCellMar>
            <w:top w:w="0" w:type="dxa"/>
            <w:left w:w="108" w:type="dxa"/>
            <w:bottom w:w="0" w:type="dxa"/>
            <w:right w:w="108" w:type="dxa"/>
          </w:tblCellMar>
        </w:tblPrEx>
        <w:trPr>
          <w:trHeight w:val="555" w:hRule="atLeast"/>
          <w:tblHeader/>
        </w:trPr>
        <w:tc>
          <w:tcPr>
            <w:tcW w:w="5000" w:type="pct"/>
            <w:gridSpan w:val="4"/>
            <w:tcBorders>
              <w:bottom w:val="single" w:color="auto" w:sz="8" w:space="0"/>
            </w:tcBorders>
            <w:shd w:val="clear" w:color="auto" w:fill="FFFFFF"/>
            <w:noWrap/>
            <w:vAlign w:val="center"/>
          </w:tcPr>
          <w:p>
            <w:pPr>
              <w:widowControl/>
              <w:jc w:val="left"/>
              <w:textAlignment w:val="center"/>
              <w:rPr>
                <w:rFonts w:ascii="Times New Roman" w:hAnsi="Times New Roman" w:eastAsia="仿宋" w:cs="Times New Roman"/>
                <w:b/>
                <w:bCs/>
                <w:kern w:val="0"/>
                <w:sz w:val="22"/>
                <w:lang w:bidi="ar"/>
              </w:rPr>
            </w:pP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单位名称：</w:t>
            </w:r>
            <w:r>
              <w:rPr>
                <w:rFonts w:hint="eastAsia" w:ascii="Times New Roman" w:hAnsi="Times New Roman" w:eastAsia="仿宋" w:cs="Times New Roman"/>
                <w:sz w:val="24"/>
                <w:szCs w:val="24"/>
              </w:rPr>
              <w:t xml:space="preserve"> </w:t>
            </w:r>
            <w:r>
              <w:rPr>
                <w:rFonts w:cs="Times New Roman"/>
                <w:sz w:val="24"/>
                <w:szCs w:val="24"/>
              </w:rPr>
              <w:t xml:space="preserve">                                </w:t>
            </w: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报告文号：</w:t>
            </w:r>
          </w:p>
        </w:tc>
      </w:tr>
      <w:tr>
        <w:tblPrEx>
          <w:tblCellMar>
            <w:top w:w="0" w:type="dxa"/>
            <w:left w:w="108" w:type="dxa"/>
            <w:bottom w:w="0" w:type="dxa"/>
            <w:right w:w="108" w:type="dxa"/>
          </w:tblCellMar>
        </w:tblPrEx>
        <w:trPr>
          <w:trHeight w:val="555" w:hRule="atLeast"/>
          <w:tblHeader/>
        </w:trPr>
        <w:tc>
          <w:tcPr>
            <w:tcW w:w="432" w:type="pct"/>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left"/>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序号</w:t>
            </w:r>
          </w:p>
        </w:tc>
        <w:tc>
          <w:tcPr>
            <w:tcW w:w="3594" w:type="pct"/>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ascii="Times New Roman" w:hAnsi="Times New Roman" w:eastAsia="仿宋" w:cs="Times New Roman"/>
                <w:b/>
                <w:bCs/>
                <w:kern w:val="0"/>
                <w:sz w:val="22"/>
                <w:lang w:bidi="ar"/>
              </w:rPr>
              <w:t>内容</w:t>
            </w:r>
          </w:p>
        </w:tc>
        <w:tc>
          <w:tcPr>
            <w:tcW w:w="670"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hint="eastAsia" w:ascii="Times New Roman" w:hAnsi="Times New Roman" w:eastAsia="仿宋" w:cs="Times New Roman"/>
                <w:b/>
                <w:bCs/>
                <w:kern w:val="0"/>
                <w:sz w:val="22"/>
                <w:lang w:bidi="ar"/>
              </w:rPr>
              <w:t>得分</w:t>
            </w:r>
          </w:p>
        </w:tc>
        <w:tc>
          <w:tcPr>
            <w:tcW w:w="304" w:type="pct"/>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索引</w:t>
            </w:r>
          </w:p>
        </w:tc>
      </w:tr>
      <w:tr>
        <w:tblPrEx>
          <w:tblCellMar>
            <w:top w:w="0" w:type="dxa"/>
            <w:left w:w="108" w:type="dxa"/>
            <w:bottom w:w="0" w:type="dxa"/>
            <w:right w:w="108" w:type="dxa"/>
          </w:tblCellMar>
        </w:tblPrEx>
        <w:trPr>
          <w:trHeight w:val="409" w:hRule="atLeast"/>
        </w:trPr>
        <w:tc>
          <w:tcPr>
            <w:tcW w:w="5000" w:type="pct"/>
            <w:gridSpan w:val="4"/>
            <w:tcBorders>
              <w:top w:val="single" w:color="auto"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一、评估工作底稿规范性和完备性</w:t>
            </w: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widowControl/>
              <w:tabs>
                <w:tab w:val="center" w:pos="2650"/>
              </w:tabs>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明确业务基本事项</w:t>
            </w:r>
          </w:p>
        </w:tc>
        <w:tc>
          <w:tcPr>
            <w:tcW w:w="670"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"业务检查指引编写说明!A11" </w:instrText>
            </w:r>
            <w:r>
              <w:fldChar w:fldCharType="separate"/>
            </w:r>
            <w:r>
              <w:rPr>
                <w:rStyle w:val="28"/>
                <w:rFonts w:ascii="Times New Roman" w:hAnsi="Times New Roman" w:eastAsia="仿宋" w:cs="Times New Roman"/>
                <w:color w:val="auto"/>
                <w:sz w:val="22"/>
              </w:rPr>
              <w:t>明确资产评估业务基本事项</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资产评估业务综合分析和评价</w:t>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"业务检查指引编写说明!A35" </w:instrText>
            </w:r>
            <w:r>
              <w:fldChar w:fldCharType="separate"/>
            </w:r>
            <w:r>
              <w:rPr>
                <w:rStyle w:val="28"/>
                <w:rFonts w:ascii="Times New Roman" w:hAnsi="Times New Roman" w:eastAsia="仿宋" w:cs="Times New Roman"/>
                <w:color w:val="auto"/>
                <w:sz w:val="22"/>
              </w:rPr>
              <w:t>专业能力分析和评价</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"业务检查指引编写说明!A49" </w:instrText>
            </w:r>
            <w:r>
              <w:fldChar w:fldCharType="separate"/>
            </w:r>
            <w:r>
              <w:rPr>
                <w:rStyle w:val="28"/>
                <w:rFonts w:ascii="Times New Roman" w:hAnsi="Times New Roman" w:eastAsia="仿宋" w:cs="Times New Roman"/>
                <w:color w:val="auto"/>
                <w:sz w:val="22"/>
              </w:rPr>
              <w:t>独立性分析和评价</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"业务检查指引编写说明!A62" </w:instrText>
            </w:r>
            <w:r>
              <w:fldChar w:fldCharType="separate"/>
            </w:r>
            <w:r>
              <w:rPr>
                <w:rStyle w:val="28"/>
                <w:rFonts w:ascii="Times New Roman" w:hAnsi="Times New Roman" w:eastAsia="仿宋" w:cs="Times New Roman"/>
                <w:color w:val="auto"/>
                <w:sz w:val="22"/>
              </w:rPr>
              <w:t>业务风险分析和评价</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left"/>
              <w:textAlignment w:val="center"/>
              <w:rPr>
                <w:rFonts w:ascii="Times New Roman" w:hAnsi="Times New Roman" w:eastAsia="仿宋" w:cs="Times New Roman"/>
                <w:sz w:val="22"/>
                <w:u w:val="single"/>
              </w:rPr>
            </w:pPr>
            <w:r>
              <w:fldChar w:fldCharType="begin"/>
            </w:r>
            <w:r>
              <w:instrText xml:space="preserve"> HYPERLINK \l "业务检查指引编写说明!A74" </w:instrText>
            </w:r>
            <w:r>
              <w:fldChar w:fldCharType="separate"/>
            </w:r>
            <w:r>
              <w:rPr>
                <w:rStyle w:val="28"/>
                <w:rFonts w:ascii="Times New Roman" w:hAnsi="Times New Roman" w:eastAsia="仿宋" w:cs="Times New Roman"/>
                <w:color w:val="auto"/>
                <w:sz w:val="22"/>
              </w:rPr>
              <w:t>订立业务委托合同</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left"/>
              <w:textAlignment w:val="center"/>
              <w:rPr>
                <w:rFonts w:ascii="Times New Roman" w:hAnsi="Times New Roman" w:eastAsia="仿宋" w:cs="Times New Roman"/>
                <w:sz w:val="22"/>
                <w:u w:val="single"/>
              </w:rPr>
            </w:pPr>
            <w:r>
              <w:fldChar w:fldCharType="begin"/>
            </w:r>
            <w:r>
              <w:instrText xml:space="preserve"> HYPERLINK \l "业务检查指引编写说明!A104" </w:instrText>
            </w:r>
            <w:r>
              <w:fldChar w:fldCharType="separate"/>
            </w:r>
            <w:r>
              <w:rPr>
                <w:rStyle w:val="28"/>
                <w:rFonts w:ascii="Times New Roman" w:hAnsi="Times New Roman" w:eastAsia="仿宋" w:cs="Times New Roman"/>
                <w:color w:val="auto"/>
                <w:sz w:val="22"/>
              </w:rPr>
              <w:t>编制资产评估计划</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进行评估现场调查</w:t>
            </w:r>
          </w:p>
        </w:tc>
        <w:tc>
          <w:tcPr>
            <w:tcW w:w="670"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left"/>
              <w:textAlignment w:val="center"/>
              <w:rPr>
                <w:rFonts w:ascii="Times New Roman" w:hAnsi="Times New Roman" w:eastAsia="仿宋" w:cs="Times New Roman"/>
                <w:sz w:val="22"/>
                <w:u w:val="single"/>
              </w:rPr>
            </w:pPr>
            <w:r>
              <w:fldChar w:fldCharType="begin"/>
            </w:r>
            <w:r>
              <w:instrText xml:space="preserve"> HYPERLINK \l "业务检查指引编写说明!A125" </w:instrText>
            </w:r>
            <w:r>
              <w:fldChar w:fldCharType="separate"/>
            </w:r>
            <w:r>
              <w:rPr>
                <w:rStyle w:val="28"/>
                <w:rFonts w:ascii="Times New Roman" w:hAnsi="Times New Roman" w:eastAsia="仿宋" w:cs="Times New Roman"/>
                <w:color w:val="auto"/>
                <w:sz w:val="22"/>
              </w:rPr>
              <w:t>获取委托人或者其他相关当事人提供的资产评估申报表等</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"业务检查指引编写说明!A136" </w:instrText>
            </w:r>
            <w:r>
              <w:fldChar w:fldCharType="separate"/>
            </w:r>
            <w:r>
              <w:rPr>
                <w:rStyle w:val="28"/>
                <w:rFonts w:ascii="Times New Roman" w:hAnsi="Times New Roman" w:eastAsia="仿宋" w:cs="Times New Roman"/>
                <w:color w:val="auto"/>
                <w:sz w:val="22"/>
              </w:rPr>
              <w:t>核实评估对象的存在性和完整性的记录</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"业务检查指引编写说明!A147" </w:instrText>
            </w:r>
            <w:r>
              <w:fldChar w:fldCharType="separate"/>
            </w:r>
            <w:r>
              <w:rPr>
                <w:rStyle w:val="28"/>
                <w:rFonts w:ascii="Times New Roman" w:hAnsi="Times New Roman" w:eastAsia="仿宋" w:cs="Times New Roman"/>
                <w:color w:val="auto"/>
                <w:sz w:val="22"/>
              </w:rPr>
              <w:t>调查评估对象的现状和使用状况的记录</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"业务检查指引编写说明!A160" </w:instrText>
            </w:r>
            <w:r>
              <w:fldChar w:fldCharType="separate"/>
            </w:r>
            <w:r>
              <w:rPr>
                <w:rStyle w:val="28"/>
                <w:rFonts w:ascii="Times New Roman" w:hAnsi="Times New Roman" w:eastAsia="仿宋" w:cs="Times New Roman"/>
                <w:color w:val="auto"/>
                <w:sz w:val="22"/>
              </w:rPr>
              <w:t>（现场）调查受到客观限制时采取的其他适用方法和记录</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"业务检查底稿编写说明!A171" </w:instrText>
            </w:r>
            <w:r>
              <w:fldChar w:fldCharType="separate"/>
            </w:r>
            <w:r>
              <w:rPr>
                <w:rStyle w:val="28"/>
                <w:rFonts w:ascii="Times New Roman" w:hAnsi="Times New Roman" w:eastAsia="仿宋" w:cs="Times New Roman"/>
                <w:color w:val="auto"/>
                <w:sz w:val="22"/>
                <w:u w:val="none"/>
              </w:rPr>
              <w:t>收集整理评估资料并进行核查验证</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"业务检查指引编写说明!A181" </w:instrText>
            </w:r>
            <w:r>
              <w:fldChar w:fldCharType="separate"/>
            </w:r>
            <w:r>
              <w:rPr>
                <w:rStyle w:val="28"/>
                <w:rFonts w:ascii="Times New Roman" w:hAnsi="Times New Roman" w:eastAsia="仿宋" w:cs="Times New Roman"/>
                <w:color w:val="auto"/>
                <w:sz w:val="22"/>
              </w:rPr>
              <w:t>收集委托人或者其他当事人提供的资料并进行核查验证</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"业务检查指引编写说明!A196" </w:instrText>
            </w:r>
            <w:r>
              <w:fldChar w:fldCharType="separate"/>
            </w:r>
            <w:r>
              <w:rPr>
                <w:rStyle w:val="28"/>
                <w:rFonts w:ascii="Times New Roman" w:hAnsi="Times New Roman" w:eastAsia="仿宋" w:cs="Times New Roman"/>
                <w:color w:val="auto"/>
                <w:sz w:val="22"/>
              </w:rPr>
              <w:t>收集市场调查信息资料（市场法）并进行核查验证</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"业务检查指引编写说明!A210" </w:instrText>
            </w:r>
            <w:r>
              <w:fldChar w:fldCharType="separate"/>
            </w:r>
            <w:r>
              <w:rPr>
                <w:rStyle w:val="28"/>
                <w:rFonts w:ascii="Times New Roman" w:hAnsi="Times New Roman" w:eastAsia="仿宋" w:cs="Times New Roman"/>
                <w:color w:val="auto"/>
                <w:sz w:val="22"/>
              </w:rPr>
              <w:t>收集预测数据资料（收益法）并进行核查验证</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"业务检查指引编写说明!A222" </w:instrText>
            </w:r>
            <w:r>
              <w:fldChar w:fldCharType="separate"/>
            </w:r>
            <w:r>
              <w:rPr>
                <w:rStyle w:val="28"/>
                <w:rFonts w:ascii="Times New Roman" w:hAnsi="Times New Roman" w:eastAsia="仿宋" w:cs="Times New Roman"/>
                <w:color w:val="auto"/>
                <w:sz w:val="22"/>
              </w:rPr>
              <w:t>收集询价记录和定价依据资料（成本法）并进行核查验证</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"业务检查指引编写说明!A235" </w:instrText>
            </w:r>
            <w:r>
              <w:fldChar w:fldCharType="separate"/>
            </w:r>
            <w:r>
              <w:rPr>
                <w:rStyle w:val="28"/>
                <w:rFonts w:ascii="Times New Roman" w:hAnsi="Times New Roman" w:eastAsia="仿宋" w:cs="Times New Roman"/>
                <w:color w:val="auto"/>
                <w:sz w:val="22"/>
              </w:rPr>
              <w:t>评估目的对应的经济行为文件</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"业务检查指引编写说明!A245" </w:instrText>
            </w:r>
            <w:r>
              <w:fldChar w:fldCharType="separate"/>
            </w:r>
            <w:r>
              <w:rPr>
                <w:rStyle w:val="28"/>
                <w:rFonts w:ascii="Times New Roman" w:hAnsi="Times New Roman" w:eastAsia="仿宋" w:cs="Times New Roman"/>
                <w:color w:val="auto"/>
                <w:sz w:val="22"/>
              </w:rPr>
              <w:t>委托人和产权持有人编写的《企业关于进行资产评估有关事项的说明》</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"业务检查底稿编写说明!A253" </w:instrText>
            </w:r>
            <w:r>
              <w:fldChar w:fldCharType="separate"/>
            </w:r>
            <w:r>
              <w:rPr>
                <w:rStyle w:val="28"/>
                <w:rFonts w:ascii="Times New Roman" w:hAnsi="Times New Roman" w:eastAsia="仿宋" w:cs="Times New Roman"/>
                <w:color w:val="auto"/>
                <w:sz w:val="22"/>
                <w:u w:val="none"/>
              </w:rPr>
              <w:t>评定估算形成结论</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"业务检查指引编写说明!A255" </w:instrText>
            </w:r>
            <w:r>
              <w:fldChar w:fldCharType="separate"/>
            </w:r>
            <w:r>
              <w:rPr>
                <w:rStyle w:val="28"/>
                <w:rFonts w:ascii="Times New Roman" w:hAnsi="Times New Roman" w:eastAsia="仿宋" w:cs="Times New Roman"/>
                <w:color w:val="auto"/>
                <w:sz w:val="22"/>
              </w:rPr>
              <w:t>评估方法选择合理、恰当</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"业务检查底稿编写说明!A263" </w:instrText>
            </w:r>
            <w:r>
              <w:fldChar w:fldCharType="separate"/>
            </w:r>
            <w:r>
              <w:rPr>
                <w:rStyle w:val="28"/>
                <w:rFonts w:ascii="Times New Roman" w:hAnsi="Times New Roman" w:eastAsia="仿宋" w:cs="Times New Roman"/>
                <w:color w:val="auto"/>
                <w:sz w:val="22"/>
                <w:u w:val="none"/>
              </w:rPr>
              <w:t>采用成本法的，确定重置成本和成新率（各相关贬值因素）的过程和结果</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"业务检查指引编写说明!A267" </w:instrText>
            </w:r>
            <w:r>
              <w:fldChar w:fldCharType="separate"/>
            </w:r>
            <w:r>
              <w:rPr>
                <w:rStyle w:val="28"/>
                <w:rFonts w:ascii="Times New Roman" w:hAnsi="Times New Roman" w:eastAsia="仿宋" w:cs="Times New Roman"/>
                <w:color w:val="auto"/>
                <w:sz w:val="22"/>
              </w:rPr>
              <w:t>确定重置成本构成要素</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"业务检查指引编写说明!A276" </w:instrText>
            </w:r>
            <w:r>
              <w:fldChar w:fldCharType="separate"/>
            </w:r>
            <w:r>
              <w:rPr>
                <w:rStyle w:val="28"/>
                <w:rFonts w:ascii="Times New Roman" w:hAnsi="Times New Roman" w:eastAsia="仿宋" w:cs="Times New Roman"/>
                <w:color w:val="auto"/>
                <w:sz w:val="22"/>
              </w:rPr>
              <w:t>确定成新率（各相关贬值因素）</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"业务检查指引编写说明!A286" </w:instrText>
            </w:r>
            <w:r>
              <w:fldChar w:fldCharType="separate"/>
            </w:r>
            <w:r>
              <w:rPr>
                <w:rStyle w:val="28"/>
                <w:rFonts w:ascii="Times New Roman" w:hAnsi="Times New Roman" w:eastAsia="仿宋" w:cs="Times New Roman"/>
                <w:color w:val="auto"/>
                <w:sz w:val="22"/>
              </w:rPr>
              <w:t>评估计算过程和结果</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"业务检查底稿编写说明!A297" </w:instrText>
            </w:r>
            <w:r>
              <w:fldChar w:fldCharType="separate"/>
            </w:r>
            <w:r>
              <w:rPr>
                <w:rStyle w:val="28"/>
                <w:rFonts w:ascii="Times New Roman" w:hAnsi="Times New Roman" w:eastAsia="仿宋" w:cs="Times New Roman"/>
                <w:color w:val="auto"/>
                <w:sz w:val="22"/>
                <w:u w:val="none"/>
              </w:rPr>
              <w:t>采用市场法的，参照物与评估对象的可比性分析以及根据评估对象与参照物的差异进行必要调整的过程和结果</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"业务检查指引编写说明!A301" </w:instrText>
            </w:r>
            <w:r>
              <w:fldChar w:fldCharType="separate"/>
            </w:r>
            <w:r>
              <w:rPr>
                <w:rStyle w:val="28"/>
                <w:rFonts w:ascii="Times New Roman" w:hAnsi="Times New Roman" w:eastAsia="仿宋" w:cs="Times New Roman"/>
                <w:color w:val="auto"/>
                <w:sz w:val="22"/>
              </w:rPr>
              <w:t>交易实例选择恰当、充分</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"业务检查指引编写说明!A311" </w:instrText>
            </w:r>
            <w:r>
              <w:fldChar w:fldCharType="separate"/>
            </w:r>
            <w:r>
              <w:rPr>
                <w:rStyle w:val="28"/>
                <w:rFonts w:ascii="Times New Roman" w:hAnsi="Times New Roman" w:eastAsia="仿宋" w:cs="Times New Roman"/>
                <w:color w:val="auto"/>
                <w:sz w:val="22"/>
              </w:rPr>
              <w:t>实例信息描述完整、真实、可靠</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right"/>
              <w:textAlignment w:val="center"/>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"业务检查指引编写说明!A320" </w:instrText>
            </w:r>
            <w:r>
              <w:fldChar w:fldCharType="separate"/>
            </w:r>
            <w:r>
              <w:rPr>
                <w:rStyle w:val="28"/>
                <w:rFonts w:ascii="Times New Roman" w:hAnsi="Times New Roman" w:eastAsia="仿宋" w:cs="Times New Roman"/>
                <w:color w:val="auto"/>
                <w:sz w:val="22"/>
              </w:rPr>
              <w:t>各项修正因素考虑合理、充分，逻辑关系正确</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"业务检查指引编写说明!A332" </w:instrText>
            </w:r>
            <w:r>
              <w:fldChar w:fldCharType="separate"/>
            </w:r>
            <w:r>
              <w:rPr>
                <w:rStyle w:val="28"/>
                <w:rFonts w:ascii="Times New Roman" w:hAnsi="Times New Roman" w:eastAsia="仿宋" w:cs="Times New Roman"/>
                <w:color w:val="auto"/>
                <w:sz w:val="22"/>
              </w:rPr>
              <w:t>评估计算过程和结果</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"业务检查底稿编写说明!A343" </w:instrText>
            </w:r>
            <w:r>
              <w:fldChar w:fldCharType="separate"/>
            </w:r>
            <w:r>
              <w:rPr>
                <w:rStyle w:val="28"/>
                <w:rFonts w:ascii="Times New Roman" w:hAnsi="Times New Roman" w:eastAsia="仿宋" w:cs="Times New Roman"/>
                <w:color w:val="auto"/>
                <w:sz w:val="22"/>
                <w:u w:val="none"/>
              </w:rPr>
              <w:t>采用收益法的，确定收益期限、预期收益和折现率等相关参数的过程和结果</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"业务检查指引编写说明!A347" </w:instrText>
            </w:r>
            <w:r>
              <w:fldChar w:fldCharType="separate"/>
            </w:r>
            <w:r>
              <w:rPr>
                <w:rStyle w:val="28"/>
                <w:rFonts w:ascii="Times New Roman" w:hAnsi="Times New Roman" w:eastAsia="仿宋" w:cs="Times New Roman"/>
                <w:color w:val="auto"/>
                <w:sz w:val="22"/>
              </w:rPr>
              <w:t>确定收益期</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right"/>
              <w:textAlignment w:val="center"/>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"业务检查指引编写说明!A358" </w:instrText>
            </w:r>
            <w:r>
              <w:fldChar w:fldCharType="separate"/>
            </w:r>
            <w:r>
              <w:rPr>
                <w:rStyle w:val="28"/>
                <w:rFonts w:ascii="Times New Roman" w:hAnsi="Times New Roman" w:eastAsia="仿宋" w:cs="Times New Roman"/>
                <w:color w:val="auto"/>
                <w:sz w:val="22"/>
              </w:rPr>
              <w:t>量化预期收益</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"业务检查指引编写说明!A369" </w:instrText>
            </w:r>
            <w:r>
              <w:fldChar w:fldCharType="separate"/>
            </w:r>
            <w:r>
              <w:rPr>
                <w:rStyle w:val="28"/>
                <w:rFonts w:ascii="Times New Roman" w:hAnsi="Times New Roman" w:eastAsia="仿宋" w:cs="Times New Roman"/>
                <w:color w:val="auto"/>
                <w:sz w:val="22"/>
              </w:rPr>
              <w:t>确定折现率</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"业务检查指引编写说明!A380" </w:instrText>
            </w:r>
            <w:r>
              <w:fldChar w:fldCharType="separate"/>
            </w:r>
            <w:r>
              <w:rPr>
                <w:rStyle w:val="28"/>
                <w:rFonts w:ascii="Times New Roman" w:hAnsi="Times New Roman" w:eastAsia="仿宋" w:cs="Times New Roman"/>
                <w:color w:val="auto"/>
                <w:sz w:val="22"/>
              </w:rPr>
              <w:t>评估计算过程和结果</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0"/>
                <w:szCs w:val="20"/>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0"/>
                <w:szCs w:val="20"/>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"业务检查指引编写说明!A393" </w:instrText>
            </w:r>
            <w:r>
              <w:fldChar w:fldCharType="separate"/>
            </w:r>
            <w:r>
              <w:rPr>
                <w:rStyle w:val="28"/>
                <w:rFonts w:ascii="Times New Roman" w:hAnsi="Times New Roman" w:eastAsia="仿宋" w:cs="Times New Roman"/>
                <w:color w:val="auto"/>
                <w:sz w:val="22"/>
              </w:rPr>
              <w:t>评定估算结果</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right"/>
              <w:textAlignment w:val="center"/>
              <w:rPr>
                <w:rFonts w:ascii="Times New Roman" w:hAnsi="Times New Roman" w:eastAsia="仿宋" w:cs="Times New Roman"/>
                <w:sz w:val="20"/>
                <w:szCs w:val="20"/>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0"/>
                <w:szCs w:val="20"/>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"业务检查指引编写说明!A406" </w:instrText>
            </w:r>
            <w:r>
              <w:fldChar w:fldCharType="separate"/>
            </w:r>
            <w:r>
              <w:rPr>
                <w:rStyle w:val="28"/>
                <w:rFonts w:ascii="Times New Roman" w:hAnsi="Times New Roman" w:eastAsia="仿宋" w:cs="Times New Roman"/>
                <w:color w:val="auto"/>
                <w:sz w:val="22"/>
              </w:rPr>
              <w:t>评估机构内部复核工作</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"业务检查底稿编写说明!A420" </w:instrText>
            </w:r>
            <w:r>
              <w:fldChar w:fldCharType="separate"/>
            </w:r>
            <w:r>
              <w:rPr>
                <w:rStyle w:val="28"/>
                <w:rFonts w:ascii="Times New Roman" w:hAnsi="Times New Roman" w:eastAsia="仿宋" w:cs="Times New Roman"/>
                <w:color w:val="auto"/>
                <w:sz w:val="22"/>
                <w:u w:val="none"/>
              </w:rPr>
              <w:t xml:space="preserve"> 整理归集评估档案</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"业务检查指引编写说明!A422" </w:instrText>
            </w:r>
            <w:r>
              <w:fldChar w:fldCharType="separate"/>
            </w:r>
            <w:r>
              <w:rPr>
                <w:rStyle w:val="28"/>
                <w:rFonts w:ascii="Times New Roman" w:hAnsi="Times New Roman" w:eastAsia="仿宋" w:cs="Times New Roman"/>
                <w:color w:val="auto"/>
                <w:sz w:val="22"/>
              </w:rPr>
              <w:t>各种形式的归档底稿内容是否完整、一致</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"业务检查指引编写说明!A442" </w:instrText>
            </w:r>
            <w:r>
              <w:fldChar w:fldCharType="separate"/>
            </w:r>
            <w:r>
              <w:rPr>
                <w:rStyle w:val="28"/>
                <w:rFonts w:ascii="Times New Roman" w:hAnsi="Times New Roman" w:eastAsia="仿宋" w:cs="Times New Roman"/>
                <w:color w:val="auto"/>
                <w:sz w:val="22"/>
              </w:rPr>
              <w:t>资产评估档案的归集</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"业务检查指引编写说明!A455" </w:instrText>
            </w:r>
            <w:r>
              <w:fldChar w:fldCharType="separate"/>
            </w:r>
            <w:r>
              <w:rPr>
                <w:rStyle w:val="28"/>
                <w:rFonts w:ascii="Times New Roman" w:hAnsi="Times New Roman" w:eastAsia="仿宋" w:cs="Times New Roman"/>
                <w:color w:val="auto"/>
                <w:sz w:val="22"/>
              </w:rPr>
              <w:t>资产评估档案的管理</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评估工作底稿规范性和完整性存在重点关注问题得分项数合计：</w:t>
            </w:r>
          </w:p>
        </w:tc>
        <w:tc>
          <w:tcPr>
            <w:tcW w:w="97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0分项数小计</w:t>
            </w:r>
          </w:p>
        </w:tc>
        <w:tc>
          <w:tcPr>
            <w:tcW w:w="97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1分项数小计</w:t>
            </w:r>
          </w:p>
        </w:tc>
        <w:tc>
          <w:tcPr>
            <w:tcW w:w="97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2分项数小计</w:t>
            </w:r>
          </w:p>
        </w:tc>
        <w:tc>
          <w:tcPr>
            <w:tcW w:w="97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3分项数小计</w:t>
            </w:r>
          </w:p>
        </w:tc>
        <w:tc>
          <w:tcPr>
            <w:tcW w:w="97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3分（含3分）以下项平均得分</w:t>
            </w:r>
          </w:p>
        </w:tc>
        <w:tc>
          <w:tcPr>
            <w:tcW w:w="97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2分（含2分）以下项平均得分</w:t>
            </w:r>
          </w:p>
        </w:tc>
        <w:tc>
          <w:tcPr>
            <w:tcW w:w="974" w:type="pct"/>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172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eastAsia="仿宋" w:cs="Times New Roman"/>
                <w:sz w:val="22"/>
              </w:rPr>
            </w:pPr>
          </w:p>
        </w:tc>
        <w:tc>
          <w:tcPr>
            <w:tcW w:w="4568" w:type="pct"/>
            <w:gridSpan w:val="3"/>
            <w:tcBorders>
              <w:top w:val="single" w:color="000000" w:sz="8" w:space="0"/>
              <w:left w:val="single" w:color="000000" w:sz="8" w:space="0"/>
              <w:bottom w:val="single" w:color="000000" w:sz="8" w:space="0"/>
              <w:right w:val="single" w:color="000000" w:sz="8" w:space="0"/>
            </w:tcBorders>
            <w:shd w:val="clear" w:color="auto" w:fill="FFFFFF"/>
            <w:noWrap/>
          </w:tcPr>
          <w:p>
            <w:pPr>
              <w:widowControl/>
              <w:jc w:val="left"/>
              <w:textAlignment w:val="top"/>
              <w:rPr>
                <w:rFonts w:ascii="Times New Roman" w:hAnsi="Times New Roman" w:eastAsia="仿宋" w:cs="Times New Roman"/>
                <w:sz w:val="22"/>
              </w:rPr>
            </w:pPr>
            <w:r>
              <w:rPr>
                <w:rFonts w:ascii="Times New Roman" w:hAnsi="Times New Roman" w:eastAsia="仿宋" w:cs="Times New Roman"/>
                <w:kern w:val="0"/>
                <w:sz w:val="22"/>
                <w:lang w:bidi="ar"/>
              </w:rPr>
              <w:t>评估工作底稿规范性和完备性检查意见（指出存在的主要问题）：</w:t>
            </w:r>
          </w:p>
        </w:tc>
      </w:tr>
      <w:tr>
        <w:tblPrEx>
          <w:tblCellMar>
            <w:top w:w="0" w:type="dxa"/>
            <w:left w:w="108" w:type="dxa"/>
            <w:bottom w:w="0" w:type="dxa"/>
            <w:right w:w="108" w:type="dxa"/>
          </w:tblCellMar>
        </w:tblPrEx>
        <w:trPr>
          <w:trHeight w:val="409" w:hRule="atLeast"/>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二、评估报告内容规范性及完备性</w:t>
            </w: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9</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"业务检查指引编写说明!A470" </w:instrText>
            </w:r>
            <w:r>
              <w:fldChar w:fldCharType="separate"/>
            </w:r>
            <w:r>
              <w:rPr>
                <w:rStyle w:val="28"/>
                <w:rFonts w:ascii="Times New Roman" w:hAnsi="Times New Roman" w:eastAsia="仿宋" w:cs="Times New Roman"/>
                <w:color w:val="auto"/>
                <w:sz w:val="22"/>
              </w:rPr>
              <w:t>资产评估报告主要内容完整性</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10</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"业务检查指引编写说明!A490" </w:instrText>
            </w:r>
            <w:r>
              <w:fldChar w:fldCharType="separate"/>
            </w:r>
            <w:r>
              <w:rPr>
                <w:rStyle w:val="28"/>
                <w:rFonts w:ascii="Times New Roman" w:hAnsi="Times New Roman" w:eastAsia="仿宋" w:cs="Times New Roman"/>
                <w:color w:val="auto"/>
                <w:sz w:val="22"/>
              </w:rPr>
              <w:t>资产评估报告正文的完整性</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11</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"业务检查指引编写说明!A512" </w:instrText>
            </w:r>
            <w:r>
              <w:fldChar w:fldCharType="separate"/>
            </w:r>
            <w:r>
              <w:rPr>
                <w:rStyle w:val="28"/>
                <w:rFonts w:ascii="Times New Roman" w:hAnsi="Times New Roman" w:eastAsia="仿宋" w:cs="Times New Roman"/>
                <w:color w:val="auto"/>
                <w:sz w:val="22"/>
              </w:rPr>
              <w:t>委托人及其他资产评估报告使用人</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12</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"业务检查指引编写说明!A524" </w:instrText>
            </w:r>
            <w:r>
              <w:fldChar w:fldCharType="separate"/>
            </w:r>
            <w:r>
              <w:rPr>
                <w:rStyle w:val="28"/>
                <w:rFonts w:ascii="Times New Roman" w:hAnsi="Times New Roman" w:eastAsia="仿宋" w:cs="Times New Roman"/>
                <w:color w:val="auto"/>
                <w:sz w:val="22"/>
              </w:rPr>
              <w:t>评估目的</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13</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"业务检查指引编写说明!A535" </w:instrText>
            </w:r>
            <w:r>
              <w:fldChar w:fldCharType="separate"/>
            </w:r>
            <w:r>
              <w:rPr>
                <w:rStyle w:val="28"/>
                <w:rFonts w:ascii="Times New Roman" w:hAnsi="Times New Roman" w:eastAsia="仿宋" w:cs="Times New Roman"/>
                <w:color w:val="auto"/>
                <w:sz w:val="22"/>
              </w:rPr>
              <w:t>评估对象和评估范围</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14</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"业务检查指引编写说明!A550" </w:instrText>
            </w:r>
            <w:r>
              <w:fldChar w:fldCharType="separate"/>
            </w:r>
            <w:r>
              <w:rPr>
                <w:rStyle w:val="28"/>
                <w:rFonts w:ascii="Times New Roman" w:hAnsi="Times New Roman" w:eastAsia="仿宋" w:cs="Times New Roman"/>
                <w:color w:val="auto"/>
                <w:sz w:val="22"/>
              </w:rPr>
              <w:t>价值类型</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15</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"业务检查指引编写说明!A561" </w:instrText>
            </w:r>
            <w:r>
              <w:fldChar w:fldCharType="separate"/>
            </w:r>
            <w:r>
              <w:rPr>
                <w:rStyle w:val="28"/>
                <w:rFonts w:ascii="Times New Roman" w:hAnsi="Times New Roman" w:eastAsia="仿宋" w:cs="Times New Roman"/>
                <w:color w:val="auto"/>
                <w:sz w:val="22"/>
              </w:rPr>
              <w:t>评估基准日</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16</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"业务检查指引编写说明!A569" </w:instrText>
            </w:r>
            <w:r>
              <w:fldChar w:fldCharType="separate"/>
            </w:r>
            <w:r>
              <w:rPr>
                <w:rStyle w:val="28"/>
                <w:rFonts w:ascii="Times New Roman" w:hAnsi="Times New Roman" w:eastAsia="仿宋" w:cs="Times New Roman"/>
                <w:color w:val="auto"/>
                <w:sz w:val="22"/>
              </w:rPr>
              <w:t>评估依据</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17</w:t>
            </w: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"业务检查指引编写说明!A584" </w:instrText>
            </w:r>
            <w:r>
              <w:fldChar w:fldCharType="separate"/>
            </w:r>
            <w:r>
              <w:rPr>
                <w:rStyle w:val="28"/>
                <w:rFonts w:ascii="Times New Roman" w:hAnsi="Times New Roman" w:eastAsia="仿宋" w:cs="Times New Roman"/>
                <w:color w:val="auto"/>
                <w:sz w:val="22"/>
              </w:rPr>
              <w:t>评估方法</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18</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"业务检查底稿编写说明!A598" </w:instrText>
            </w:r>
            <w:r>
              <w:fldChar w:fldCharType="separate"/>
            </w:r>
            <w:r>
              <w:rPr>
                <w:rStyle w:val="28"/>
                <w:rFonts w:ascii="Times New Roman" w:hAnsi="Times New Roman" w:eastAsia="仿宋" w:cs="Times New Roman"/>
                <w:color w:val="auto"/>
                <w:sz w:val="22"/>
                <w:u w:val="none"/>
              </w:rPr>
              <w:t>评估程序实施过程和情况</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pct20" w:color="auto" w:fill="FFFFFF"/>
            <w:vAlign w:val="center"/>
          </w:tcPr>
          <w:p>
            <w:pPr>
              <w:jc w:val="center"/>
              <w:rPr>
                <w:rFonts w:ascii="Times New Roman" w:hAnsi="Times New Roman" w:eastAsia="仿宋" w:cs="Times New Roman"/>
                <w:sz w:val="20"/>
                <w:szCs w:val="20"/>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"业务检查指引编写说明!A600" </w:instrText>
            </w:r>
            <w:r>
              <w:fldChar w:fldCharType="separate"/>
            </w:r>
            <w:r>
              <w:rPr>
                <w:rStyle w:val="28"/>
                <w:rFonts w:ascii="Times New Roman" w:hAnsi="Times New Roman" w:eastAsia="仿宋" w:cs="Times New Roman"/>
                <w:color w:val="auto"/>
                <w:sz w:val="22"/>
              </w:rPr>
              <w:t>评估实施的主要程序</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"业务检查底稿编写说明!A614" </w:instrText>
            </w:r>
            <w:r>
              <w:fldChar w:fldCharType="separate"/>
            </w:r>
            <w:r>
              <w:rPr>
                <w:rStyle w:val="28"/>
                <w:rFonts w:ascii="Times New Roman" w:hAnsi="Times New Roman" w:eastAsia="仿宋" w:cs="Times New Roman"/>
                <w:color w:val="auto"/>
                <w:sz w:val="22"/>
                <w:u w:val="none"/>
              </w:rPr>
              <w:t>评估方法运用实施过程</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"业务检查指引编写说明!A619" </w:instrText>
            </w:r>
            <w:r>
              <w:fldChar w:fldCharType="separate"/>
            </w:r>
            <w:r>
              <w:rPr>
                <w:rStyle w:val="28"/>
                <w:rFonts w:ascii="Times New Roman" w:hAnsi="Times New Roman" w:eastAsia="仿宋" w:cs="Times New Roman"/>
                <w:color w:val="auto"/>
                <w:sz w:val="22"/>
              </w:rPr>
              <w:t>评估方法的运用和逻辑推理计算过程（技术思路及估值模型）</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"业务检查底稿编写说明!A630" </w:instrText>
            </w:r>
            <w:r>
              <w:fldChar w:fldCharType="separate"/>
            </w:r>
            <w:r>
              <w:rPr>
                <w:rStyle w:val="28"/>
                <w:rFonts w:ascii="Times New Roman" w:hAnsi="Times New Roman" w:eastAsia="仿宋" w:cs="Times New Roman"/>
                <w:color w:val="auto"/>
                <w:sz w:val="22"/>
                <w:u w:val="none"/>
              </w:rPr>
              <w:t>资本化率、折现率、价值比率、成新率等重要参数的获取来源和形成过程</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"业务检查底稿编写说明!A631" </w:instrText>
            </w:r>
            <w:r>
              <w:fldChar w:fldCharType="separate"/>
            </w:r>
            <w:r>
              <w:rPr>
                <w:rStyle w:val="28"/>
                <w:rFonts w:ascii="Times New Roman" w:hAnsi="Times New Roman" w:eastAsia="仿宋" w:cs="Times New Roman"/>
                <w:color w:val="auto"/>
                <w:sz w:val="22"/>
                <w:u w:val="none"/>
              </w:rPr>
              <w:t>采用成本法的，确定重置成本和成新率（各相关贬值因素）等重要参数的获取来源和形成过程</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"业务检查指引编写说明!A633" </w:instrText>
            </w:r>
            <w:r>
              <w:fldChar w:fldCharType="separate"/>
            </w:r>
            <w:r>
              <w:rPr>
                <w:rStyle w:val="28"/>
                <w:rFonts w:ascii="Times New Roman" w:hAnsi="Times New Roman" w:eastAsia="仿宋" w:cs="Times New Roman"/>
                <w:color w:val="auto"/>
                <w:sz w:val="22"/>
              </w:rPr>
              <w:t>确定重置成本，构成要素、取值依据分析及形成过程阐述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"业务检查指引编写说明!A644" </w:instrText>
            </w:r>
            <w:r>
              <w:fldChar w:fldCharType="separate"/>
            </w:r>
            <w:r>
              <w:rPr>
                <w:rStyle w:val="28"/>
                <w:rFonts w:ascii="Times New Roman" w:hAnsi="Times New Roman" w:eastAsia="仿宋" w:cs="Times New Roman"/>
                <w:color w:val="auto"/>
                <w:sz w:val="22"/>
              </w:rPr>
              <w:t>确定成新率，各项贬值因素考虑、取值依据分析及形成过程阐述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"业务检查指引编写说明!A655" </w:instrText>
            </w:r>
            <w:r>
              <w:fldChar w:fldCharType="separate"/>
            </w:r>
            <w:r>
              <w:rPr>
                <w:rStyle w:val="28"/>
                <w:rFonts w:ascii="Times New Roman" w:hAnsi="Times New Roman" w:eastAsia="仿宋" w:cs="Times New Roman"/>
                <w:color w:val="auto"/>
                <w:sz w:val="22"/>
              </w:rPr>
              <w:t>计算分析过程及计算结果阐述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"业务检查底稿编写说明!A664" </w:instrText>
            </w:r>
            <w:r>
              <w:fldChar w:fldCharType="separate"/>
            </w:r>
            <w:r>
              <w:rPr>
                <w:rStyle w:val="28"/>
                <w:rFonts w:ascii="Times New Roman" w:hAnsi="Times New Roman" w:eastAsia="仿宋" w:cs="Times New Roman"/>
                <w:color w:val="auto"/>
                <w:sz w:val="22"/>
                <w:u w:val="none"/>
              </w:rPr>
              <w:t>采用市场法的，确定价值比率等重要参数的获取来源和形成过程</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"业务检查指引编写说明!A666" </w:instrText>
            </w:r>
            <w:r>
              <w:fldChar w:fldCharType="separate"/>
            </w:r>
            <w:r>
              <w:rPr>
                <w:rStyle w:val="28"/>
                <w:rFonts w:ascii="Times New Roman" w:hAnsi="Times New Roman" w:eastAsia="仿宋" w:cs="Times New Roman"/>
                <w:color w:val="auto"/>
                <w:sz w:val="22"/>
              </w:rPr>
              <w:t>选择案例的依据或理由阐述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"业务检查指引编写说明!A674" </w:instrText>
            </w:r>
            <w:r>
              <w:fldChar w:fldCharType="separate"/>
            </w:r>
            <w:r>
              <w:rPr>
                <w:rStyle w:val="28"/>
                <w:rFonts w:ascii="Times New Roman" w:hAnsi="Times New Roman" w:eastAsia="仿宋" w:cs="Times New Roman"/>
                <w:color w:val="auto"/>
                <w:sz w:val="22"/>
              </w:rPr>
              <w:t>案例信息披露</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"业务检查指引编写说明!A682" </w:instrText>
            </w:r>
            <w:r>
              <w:fldChar w:fldCharType="separate"/>
            </w:r>
            <w:r>
              <w:rPr>
                <w:rStyle w:val="28"/>
                <w:rFonts w:ascii="Times New Roman" w:hAnsi="Times New Roman" w:eastAsia="仿宋" w:cs="Times New Roman"/>
                <w:color w:val="auto"/>
                <w:sz w:val="22"/>
              </w:rPr>
              <w:t>各项修正因素考虑、逻辑关系分析，取值依据分析、因素比较修正情况阐述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"业务检查指引编写说明!A691" </w:instrText>
            </w:r>
            <w:r>
              <w:fldChar w:fldCharType="separate"/>
            </w:r>
            <w:r>
              <w:rPr>
                <w:rStyle w:val="28"/>
                <w:rFonts w:ascii="Times New Roman" w:hAnsi="Times New Roman" w:eastAsia="仿宋" w:cs="Times New Roman"/>
                <w:color w:val="auto"/>
                <w:sz w:val="22"/>
              </w:rPr>
              <w:t>评估计算过程和结果阐述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"业务检查底稿编写说明!A700" </w:instrText>
            </w:r>
            <w:r>
              <w:fldChar w:fldCharType="separate"/>
            </w:r>
            <w:r>
              <w:rPr>
                <w:rStyle w:val="28"/>
                <w:rFonts w:ascii="Times New Roman" w:hAnsi="Times New Roman" w:eastAsia="仿宋" w:cs="Times New Roman"/>
                <w:color w:val="auto"/>
                <w:sz w:val="22"/>
                <w:u w:val="none"/>
              </w:rPr>
              <w:t>采用收益法的，确定收益期限、预期收益和折现率等重要参数的获取来源和形成过程</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"业务检查指引编写说明!A702" </w:instrText>
            </w:r>
            <w:r>
              <w:fldChar w:fldCharType="separate"/>
            </w:r>
            <w:r>
              <w:rPr>
                <w:rStyle w:val="28"/>
                <w:rFonts w:ascii="Times New Roman" w:hAnsi="Times New Roman" w:eastAsia="仿宋" w:cs="Times New Roman"/>
                <w:color w:val="auto"/>
                <w:sz w:val="22"/>
              </w:rPr>
              <w:t>确定收益期考虑因素、依据分析及形成过程阐述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"业务检查指引编写说明!A710" </w:instrText>
            </w:r>
            <w:r>
              <w:fldChar w:fldCharType="separate"/>
            </w:r>
            <w:r>
              <w:rPr>
                <w:rStyle w:val="28"/>
                <w:rFonts w:ascii="Times New Roman" w:hAnsi="Times New Roman" w:eastAsia="仿宋" w:cs="Times New Roman"/>
                <w:color w:val="auto"/>
                <w:sz w:val="22"/>
              </w:rPr>
              <w:t>预期收益考虑因素考虑、取值依据分析及形成过程阐述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"业务检查指引编写说明!A718" </w:instrText>
            </w:r>
            <w:r>
              <w:fldChar w:fldCharType="separate"/>
            </w:r>
            <w:r>
              <w:rPr>
                <w:rStyle w:val="28"/>
                <w:rFonts w:ascii="Times New Roman" w:hAnsi="Times New Roman" w:eastAsia="仿宋" w:cs="Times New Roman"/>
                <w:color w:val="auto"/>
                <w:sz w:val="22"/>
              </w:rPr>
              <w:t>确定折现率考虑因素、取值依据分析及形成过程阐述；折现率口径与收益口径一致性。</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"业务检查指引编写说明!A727" </w:instrText>
            </w:r>
            <w:r>
              <w:fldChar w:fldCharType="separate"/>
            </w:r>
            <w:r>
              <w:rPr>
                <w:rStyle w:val="28"/>
                <w:rFonts w:ascii="Times New Roman" w:hAnsi="Times New Roman" w:eastAsia="仿宋" w:cs="Times New Roman"/>
                <w:color w:val="auto"/>
                <w:sz w:val="22"/>
              </w:rPr>
              <w:t>评估计算过程和结果阐述</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"业务检查指引编写说明!A737" </w:instrText>
            </w:r>
            <w:r>
              <w:fldChar w:fldCharType="separate"/>
            </w:r>
            <w:r>
              <w:rPr>
                <w:rStyle w:val="28"/>
                <w:rFonts w:ascii="Times New Roman" w:hAnsi="Times New Roman" w:eastAsia="仿宋" w:cs="Times New Roman"/>
                <w:color w:val="auto"/>
                <w:sz w:val="22"/>
              </w:rPr>
              <w:t>对初步评估结果进行综合分析，形成最终评估结论的过程</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19</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"业务检查指引编写说明!A746" </w:instrText>
            </w:r>
            <w:r>
              <w:fldChar w:fldCharType="separate"/>
            </w:r>
            <w:r>
              <w:rPr>
                <w:rStyle w:val="28"/>
                <w:rFonts w:ascii="Times New Roman" w:hAnsi="Times New Roman" w:eastAsia="仿宋" w:cs="Times New Roman"/>
                <w:color w:val="auto"/>
                <w:sz w:val="22"/>
              </w:rPr>
              <w:t>评估假设</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20</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"业务检查底稿编写说明!A760" </w:instrText>
            </w:r>
            <w:r>
              <w:fldChar w:fldCharType="separate"/>
            </w:r>
            <w:r>
              <w:rPr>
                <w:rStyle w:val="28"/>
                <w:rFonts w:ascii="Times New Roman" w:hAnsi="Times New Roman" w:eastAsia="仿宋" w:cs="Times New Roman"/>
                <w:color w:val="auto"/>
                <w:sz w:val="22"/>
                <w:u w:val="none"/>
              </w:rPr>
              <w:t>评估结论</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"业务检查指引编写说明!A762" </w:instrText>
            </w:r>
            <w:r>
              <w:fldChar w:fldCharType="separate"/>
            </w:r>
            <w:r>
              <w:rPr>
                <w:rStyle w:val="28"/>
                <w:rFonts w:ascii="Times New Roman" w:hAnsi="Times New Roman" w:eastAsia="仿宋" w:cs="Times New Roman"/>
                <w:color w:val="auto"/>
                <w:sz w:val="22"/>
              </w:rPr>
              <w:t>评估结论计算正确</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"业务检查指引编写说明!A774" </w:instrText>
            </w:r>
            <w:r>
              <w:fldChar w:fldCharType="separate"/>
            </w:r>
            <w:r>
              <w:rPr>
                <w:rStyle w:val="28"/>
                <w:rFonts w:ascii="Times New Roman" w:hAnsi="Times New Roman" w:eastAsia="仿宋" w:cs="Times New Roman"/>
                <w:color w:val="auto"/>
                <w:sz w:val="22"/>
              </w:rPr>
              <w:t>评估结论披露充分、准确</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right"/>
              <w:textAlignment w:val="center"/>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21</w:t>
            </w:r>
            <w:r>
              <w:rPr>
                <w:rFonts w:ascii="Segoe UI Symbol" w:hAnsi="Segoe UI Symbol" w:eastAsia="仿宋" w:cs="Segoe UI Symbol"/>
                <w:kern w:val="0"/>
                <w:sz w:val="22"/>
                <w:lang w:bidi="ar"/>
              </w:rPr>
              <w:t>★</w:t>
            </w:r>
          </w:p>
        </w:tc>
        <w:tc>
          <w:tcPr>
            <w:tcW w:w="3594" w:type="pct"/>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"file:///D:\\工作区\\中评协工作区\\工作项目\\联合监管工作\\工作手册校对过程\\表4-1单项资产或资产组组合.xlsx" \l "业务检查底稿编写说明!A789" </w:instrText>
            </w:r>
            <w:r>
              <w:fldChar w:fldCharType="separate"/>
            </w:r>
            <w:r>
              <w:rPr>
                <w:rStyle w:val="28"/>
                <w:rFonts w:ascii="Times New Roman" w:hAnsi="Times New Roman" w:eastAsia="仿宋" w:cs="Times New Roman"/>
                <w:color w:val="auto"/>
                <w:sz w:val="22"/>
                <w:u w:val="none"/>
              </w:rPr>
              <w:t>特别事项说明</w:t>
            </w:r>
            <w:r>
              <w:rPr>
                <w:rStyle w:val="28"/>
                <w:rFonts w:ascii="Times New Roman" w:hAnsi="Times New Roman" w:eastAsia="仿宋" w:cs="Times New Roman"/>
                <w:color w:val="auto"/>
                <w:sz w:val="22"/>
                <w:u w:val="none"/>
              </w:rPr>
              <w:fldChar w:fldCharType="end"/>
            </w:r>
          </w:p>
        </w:tc>
        <w:tc>
          <w:tcPr>
            <w:tcW w:w="670"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pct20" w:color="auto" w:fill="FFFFFF"/>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"业务检查指引编写说明!A791" </w:instrText>
            </w:r>
            <w:r>
              <w:fldChar w:fldCharType="separate"/>
            </w:r>
            <w:r>
              <w:rPr>
                <w:rStyle w:val="28"/>
                <w:rFonts w:ascii="Times New Roman" w:hAnsi="Times New Roman" w:eastAsia="仿宋" w:cs="Times New Roman"/>
                <w:color w:val="auto"/>
                <w:sz w:val="22"/>
              </w:rPr>
              <w:t>权属等主要资料不完整或者存在瑕疵的情形</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"业务检查指引编写说明!A802" </w:instrText>
            </w:r>
            <w:r>
              <w:fldChar w:fldCharType="separate"/>
            </w:r>
            <w:r>
              <w:rPr>
                <w:rStyle w:val="28"/>
                <w:rFonts w:ascii="Times New Roman" w:hAnsi="Times New Roman" w:eastAsia="仿宋" w:cs="Times New Roman"/>
                <w:color w:val="auto"/>
                <w:sz w:val="22"/>
              </w:rPr>
              <w:t>委托人未提供的其他关键资料情况</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right"/>
              <w:textAlignment w:val="center"/>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"业务检查指引编写说明!A813" </w:instrText>
            </w:r>
            <w:r>
              <w:fldChar w:fldCharType="separate"/>
            </w:r>
            <w:r>
              <w:rPr>
                <w:rStyle w:val="28"/>
                <w:rFonts w:ascii="Times New Roman" w:hAnsi="Times New Roman" w:eastAsia="仿宋" w:cs="Times New Roman"/>
                <w:color w:val="auto"/>
                <w:sz w:val="22"/>
              </w:rPr>
              <w:t>未决事项、法律纠纷等不确定因素</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"业务检查指引编写说明!A823" </w:instrText>
            </w:r>
            <w:r>
              <w:fldChar w:fldCharType="separate"/>
            </w:r>
            <w:r>
              <w:rPr>
                <w:rStyle w:val="28"/>
                <w:rFonts w:ascii="Times New Roman" w:hAnsi="Times New Roman" w:eastAsia="仿宋" w:cs="Times New Roman"/>
                <w:color w:val="auto"/>
                <w:sz w:val="22"/>
              </w:rPr>
              <w:t>重要的利用专家工作及相关报告情况</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"业务检查指引编写说明!A845" </w:instrText>
            </w:r>
            <w:r>
              <w:fldChar w:fldCharType="separate"/>
            </w:r>
            <w:r>
              <w:rPr>
                <w:rStyle w:val="28"/>
                <w:rFonts w:ascii="Times New Roman" w:hAnsi="Times New Roman" w:eastAsia="仿宋" w:cs="Times New Roman"/>
                <w:color w:val="auto"/>
                <w:sz w:val="22"/>
              </w:rPr>
              <w:t>重大期后事项</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"业务检查指引编写说明!A856" </w:instrText>
            </w:r>
            <w:r>
              <w:fldChar w:fldCharType="separate"/>
            </w:r>
            <w:r>
              <w:rPr>
                <w:rStyle w:val="28"/>
                <w:rFonts w:ascii="Times New Roman" w:hAnsi="Times New Roman" w:eastAsia="仿宋" w:cs="Times New Roman"/>
                <w:color w:val="auto"/>
                <w:sz w:val="22"/>
              </w:rPr>
              <w:t>评估程序受限的有关情况、评估机构采取的弥补措施及对评估结论影响的情况</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22</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"业务检查指引编写说明!A867" </w:instrText>
            </w:r>
            <w:r>
              <w:fldChar w:fldCharType="separate"/>
            </w:r>
            <w:r>
              <w:rPr>
                <w:rStyle w:val="28"/>
                <w:rFonts w:ascii="Times New Roman" w:hAnsi="Times New Roman" w:eastAsia="仿宋" w:cs="Times New Roman"/>
                <w:color w:val="auto"/>
                <w:sz w:val="22"/>
              </w:rPr>
              <w:t>资产评估报告的使用限制说明</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right"/>
              <w:textAlignment w:val="center"/>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23</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"业务检查指引编写说明!A881" </w:instrText>
            </w:r>
            <w:r>
              <w:fldChar w:fldCharType="separate"/>
            </w:r>
            <w:r>
              <w:rPr>
                <w:rStyle w:val="28"/>
                <w:rFonts w:ascii="Times New Roman" w:hAnsi="Times New Roman" w:eastAsia="仿宋" w:cs="Times New Roman"/>
                <w:color w:val="auto"/>
                <w:sz w:val="22"/>
              </w:rPr>
              <w:t>资产评估报告日</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24</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"业务检查指引编写说明!A889" </w:instrText>
            </w:r>
            <w:r>
              <w:fldChar w:fldCharType="separate"/>
            </w:r>
            <w:r>
              <w:rPr>
                <w:rStyle w:val="28"/>
                <w:rFonts w:ascii="Times New Roman" w:hAnsi="Times New Roman" w:eastAsia="仿宋" w:cs="Times New Roman"/>
                <w:color w:val="auto"/>
                <w:sz w:val="22"/>
              </w:rPr>
              <w:t>资产评估专业人员签名和资产评估机构印章</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right"/>
              <w:textAlignment w:val="center"/>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25</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"业务检查指引编写说明!A898" </w:instrText>
            </w:r>
            <w:r>
              <w:fldChar w:fldCharType="separate"/>
            </w:r>
            <w:r>
              <w:rPr>
                <w:rStyle w:val="28"/>
                <w:rFonts w:ascii="Times New Roman" w:hAnsi="Times New Roman" w:eastAsia="仿宋" w:cs="Times New Roman"/>
                <w:color w:val="auto"/>
                <w:sz w:val="22"/>
              </w:rPr>
              <w:t>资产评估报告附件</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26</w:t>
            </w: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"业务检查指引编写说明!A915" </w:instrText>
            </w:r>
            <w:r>
              <w:fldChar w:fldCharType="separate"/>
            </w:r>
            <w:r>
              <w:rPr>
                <w:rStyle w:val="28"/>
                <w:rFonts w:ascii="Times New Roman" w:hAnsi="Times New Roman" w:eastAsia="仿宋" w:cs="Times New Roman"/>
                <w:color w:val="auto"/>
                <w:sz w:val="22"/>
              </w:rPr>
              <w:t>资产评估明细表</w:t>
            </w:r>
            <w:r>
              <w:rPr>
                <w:rStyle w:val="28"/>
                <w:rFonts w:ascii="Times New Roman" w:hAnsi="Times New Roman" w:eastAsia="仿宋" w:cs="Times New Roman"/>
                <w:color w:val="auto"/>
                <w:sz w:val="22"/>
              </w:rPr>
              <w:fldChar w:fldCharType="end"/>
            </w:r>
          </w:p>
        </w:tc>
        <w:tc>
          <w:tcPr>
            <w:tcW w:w="67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30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570" w:hRule="atLeast"/>
        </w:trPr>
        <w:tc>
          <w:tcPr>
            <w:tcW w:w="432" w:type="pct"/>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资产评估报告内容规范性和完整性存在重点关注问题得分项数合计：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0分项数小计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3分（含3分）以下项平均得分</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2分（含2分）以下项平均得分</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2460"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2"/>
              </w:rPr>
            </w:pPr>
          </w:p>
        </w:tc>
        <w:tc>
          <w:tcPr>
            <w:tcW w:w="4568" w:type="pct"/>
            <w:gridSpan w:val="3"/>
            <w:tcBorders>
              <w:top w:val="single" w:color="000000" w:sz="8" w:space="0"/>
              <w:left w:val="single" w:color="000000" w:sz="8" w:space="0"/>
              <w:bottom w:val="single" w:color="000000" w:sz="8" w:space="0"/>
              <w:right w:val="single" w:color="000000" w:sz="8" w:space="0"/>
            </w:tcBorders>
            <w:shd w:val="clear" w:color="auto" w:fill="FFFFFF"/>
          </w:tcPr>
          <w:p>
            <w:pPr>
              <w:widowControl/>
              <w:jc w:val="left"/>
              <w:textAlignment w:val="top"/>
              <w:rPr>
                <w:rFonts w:ascii="Times New Roman" w:hAnsi="Times New Roman" w:eastAsia="仿宋" w:cs="Times New Roman"/>
                <w:sz w:val="22"/>
              </w:rPr>
            </w:pPr>
            <w:r>
              <w:rPr>
                <w:rFonts w:ascii="Times New Roman" w:hAnsi="Times New Roman" w:eastAsia="仿宋" w:cs="Times New Roman"/>
                <w:kern w:val="0"/>
                <w:sz w:val="22"/>
                <w:lang w:bidi="ar"/>
              </w:rPr>
              <w:t>资产评估报告内容规范性和完备性检查意见（指出存在的主要问题）：</w:t>
            </w:r>
          </w:p>
        </w:tc>
      </w:tr>
      <w:tr>
        <w:tblPrEx>
          <w:tblCellMar>
            <w:top w:w="0" w:type="dxa"/>
            <w:left w:w="108" w:type="dxa"/>
            <w:bottom w:w="0" w:type="dxa"/>
            <w:right w:w="108" w:type="dxa"/>
          </w:tblCellMar>
        </w:tblPrEx>
        <w:trPr>
          <w:trHeight w:val="409" w:hRule="atLeast"/>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三、评估业务整体评分结果</w:t>
            </w:r>
          </w:p>
        </w:tc>
      </w:tr>
      <w:tr>
        <w:tblPrEx>
          <w:tblCellMar>
            <w:top w:w="0" w:type="dxa"/>
            <w:left w:w="108" w:type="dxa"/>
            <w:bottom w:w="0" w:type="dxa"/>
            <w:right w:w="108" w:type="dxa"/>
          </w:tblCellMar>
        </w:tblPrEx>
        <w:trPr>
          <w:trHeight w:val="409" w:hRule="atLeast"/>
        </w:trPr>
        <w:tc>
          <w:tcPr>
            <w:tcW w:w="432" w:type="pct"/>
            <w:vMerge w:val="restar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4"/>
                <w:szCs w:val="24"/>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评估业务整体存在重点关注问题得分项数合计：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4"/>
                <w:szCs w:val="24"/>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0分项数小计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4"/>
                <w:szCs w:val="24"/>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4"/>
                <w:szCs w:val="24"/>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4"/>
                <w:szCs w:val="24"/>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3分项数小计</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4"/>
                <w:szCs w:val="24"/>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3分（含3分）以下项平均得分</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2" w:type="pct"/>
            <w:vMerge w:val="continue"/>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rFonts w:ascii="Times New Roman" w:hAnsi="Times New Roman" w:eastAsia="仿宋" w:cs="Times New Roman"/>
                <w:sz w:val="24"/>
                <w:szCs w:val="24"/>
              </w:rPr>
            </w:pPr>
          </w:p>
        </w:tc>
        <w:tc>
          <w:tcPr>
            <w:tcW w:w="3594"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2分（含2分）以下项平均得分</w:t>
            </w:r>
          </w:p>
        </w:tc>
        <w:tc>
          <w:tcPr>
            <w:tcW w:w="974" w:type="pct"/>
            <w:gridSpan w:val="2"/>
            <w:tcBorders>
              <w:top w:val="single" w:color="000000" w:sz="8" w:space="0"/>
              <w:left w:val="single" w:color="000000" w:sz="8" w:space="0"/>
              <w:bottom w:val="single" w:color="000000" w:sz="8" w:space="0"/>
              <w:right w:val="single" w:color="000000" w:sz="8" w:space="0"/>
            </w:tcBorders>
            <w:shd w:val="pct20" w:color="auto" w:fill="FFFFF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5000" w:type="pct"/>
            <w:gridSpan w:val="4"/>
            <w:tcBorders>
              <w:top w:val="single" w:color="000000" w:sz="8" w:space="0"/>
              <w:left w:val="nil"/>
              <w:bottom w:val="nil"/>
              <w:right w:val="nil"/>
            </w:tcBorders>
            <w:shd w:val="clear" w:color="auto" w:fill="FFFFFF"/>
            <w:noWrap/>
            <w:vAlign w:val="center"/>
          </w:tcPr>
          <w:p>
            <w:pPr>
              <w:widowControl/>
              <w:jc w:val="left"/>
              <w:textAlignment w:val="center"/>
              <w:rPr>
                <w:rFonts w:ascii="Times New Roman" w:hAnsi="Times New Roman" w:eastAsia="仿宋" w:cs="Times New Roman"/>
                <w:sz w:val="24"/>
                <w:szCs w:val="24"/>
              </w:rPr>
            </w:pP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 xml:space="preserve">人员：       </w:t>
            </w: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时间：           复核人员：      复核时间：</w:t>
            </w:r>
          </w:p>
        </w:tc>
      </w:tr>
    </w:tbl>
    <w:p>
      <w:pPr>
        <w:rPr>
          <w:rFonts w:ascii="Times New Roman" w:hAnsi="Times New Roman" w:eastAsia="仿宋" w:cs="Times New Roman"/>
        </w:rPr>
      </w:pPr>
      <w:r>
        <w:rPr>
          <w:rFonts w:ascii="Times New Roman" w:hAnsi="Times New Roman" w:eastAsia="仿宋" w:cs="Times New Roman"/>
        </w:rPr>
        <w:br w:type="page"/>
      </w:r>
    </w:p>
    <w:p>
      <w:pPr>
        <w:jc w:val="center"/>
        <w:outlineLvl w:val="2"/>
        <w:rPr>
          <w:rStyle w:val="31"/>
          <w:rFonts w:ascii="Times New Roman" w:hAnsi="Times New Roman" w:eastAsia="仿宋"/>
          <w:sz w:val="44"/>
          <w:szCs w:val="44"/>
        </w:rPr>
      </w:pPr>
      <w:bookmarkStart w:id="13" w:name="_Toc70262743"/>
      <w:bookmarkStart w:id="14" w:name="_Toc106980802"/>
      <w:r>
        <w:rPr>
          <w:rStyle w:val="31"/>
          <w:rFonts w:ascii="Times New Roman" w:hAnsi="Times New Roman" w:eastAsia="仿宋"/>
          <w:sz w:val="44"/>
          <w:szCs w:val="44"/>
        </w:rPr>
        <w:t>单项资产或资产组合评估业务</w:t>
      </w:r>
      <w:r>
        <w:rPr>
          <w:rStyle w:val="31"/>
          <w:rFonts w:hint="eastAsia" w:ascii="Times New Roman" w:hAnsi="Times New Roman" w:eastAsia="仿宋"/>
          <w:sz w:val="44"/>
          <w:szCs w:val="44"/>
          <w:lang w:eastAsia="zh-CN"/>
        </w:rPr>
        <w:t>自查</w:t>
      </w:r>
      <w:r>
        <w:rPr>
          <w:rStyle w:val="31"/>
          <w:rFonts w:ascii="Times New Roman" w:hAnsi="Times New Roman" w:eastAsia="仿宋"/>
          <w:sz w:val="44"/>
          <w:szCs w:val="44"/>
        </w:rPr>
        <w:t>说明</w:t>
      </w:r>
      <w:bookmarkEnd w:id="13"/>
      <w:bookmarkEnd w:id="14"/>
    </w:p>
    <w:p>
      <w:pPr>
        <w:spacing w:line="360" w:lineRule="auto"/>
        <w:ind w:firstLine="556"/>
        <w:jc w:val="left"/>
        <w:rPr>
          <w:rFonts w:ascii="Times New Roman" w:hAnsi="Times New Roman" w:eastAsia="仿宋" w:cs="Times New Roman"/>
          <w:b/>
          <w:sz w:val="24"/>
          <w:szCs w:val="28"/>
        </w:rPr>
      </w:pPr>
    </w:p>
    <w:p>
      <w:pPr>
        <w:spacing w:line="360" w:lineRule="auto"/>
        <w:ind w:firstLine="556"/>
        <w:jc w:val="left"/>
        <w:rPr>
          <w:rFonts w:ascii="Times New Roman" w:hAnsi="Times New Roman" w:eastAsia="仿宋" w:cs="Times New Roman"/>
          <w:b/>
          <w:sz w:val="24"/>
          <w:szCs w:val="28"/>
        </w:rPr>
      </w:pPr>
      <w:r>
        <w:rPr>
          <w:rFonts w:ascii="Times New Roman" w:hAnsi="Times New Roman" w:eastAsia="仿宋" w:cs="Times New Roman"/>
          <w:b/>
          <w:sz w:val="24"/>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64770</wp:posOffset>
                </wp:positionV>
                <wp:extent cx="5391785" cy="4165600"/>
                <wp:effectExtent l="0" t="0" r="19050" b="25400"/>
                <wp:wrapNone/>
                <wp:docPr id="2" name="矩形 2"/>
                <wp:cNvGraphicFramePr/>
                <a:graphic xmlns:a="http://schemas.openxmlformats.org/drawingml/2006/main">
                  <a:graphicData uri="http://schemas.microsoft.com/office/word/2010/wordprocessingShape">
                    <wps:wsp>
                      <wps:cNvSpPr/>
                      <wps:spPr>
                        <a:xfrm>
                          <a:off x="0" y="0"/>
                          <a:ext cx="5391510" cy="4165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1.除企业价值评估（含国资及非国资）、无形资产评估、以财务报告为目的的评估以外的资产评估业务适用本检查底稿。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对于以经营业务单元形成的且能够独立获得现金流的资产组或资产组组合，应根据评估报告中所描述的评估目的、评估对象及评估依据，判断检查底稿的适用类型（即适用企业价值评估业务检查底稿还是单项资产或资产组组合评估业务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3.检查过程中重点关注各检查项目得分在0、1.2.3分的情况，检查底稿表中只对检查得分0、1.2.3分的情况进行填报记录，即在对应检查项目中填写相应得分。</w:t>
                            </w:r>
                          </w:p>
                        </w:txbxContent>
                      </wps:txbx>
                      <wps:bodyPr wrap="square" upright="1">
                        <a:noAutofit/>
                      </wps:bodyPr>
                    </wps:wsp>
                  </a:graphicData>
                </a:graphic>
              </wp:anchor>
            </w:drawing>
          </mc:Choice>
          <mc:Fallback>
            <w:pict>
              <v:rect id="_x0000_s1026" o:spid="_x0000_s1026" o:spt="1" style="position:absolute;left:0pt;margin-left:0.75pt;margin-top:5.1pt;height:328pt;width:424.55pt;z-index:251659264;mso-width-relative:page;mso-height-relative:page;" fillcolor="#FFFFFF" filled="t" stroked="t" coordsize="21600,21600" o:gfxdata="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xUopTWAAAACAEAAA8A&#10;AAAAAAAAAQAgAAAAIgAAAGRycy9kb3ducmV2LnhtbFBLAQIUABQAAAAIAIdO4kCEx999GQIAAFIE&#10;AAAOAAAAAAAAAAEAIAAAACUBAABkcnMvZTJvRG9jLnhtbFBLBQYAAAAABgAGAFkBAACwBQAAAAA=&#10;">
                <v:fill on="t" focussize="0,0"/>
                <v:stroke color="#000000" joinstyle="miter"/>
                <v:imagedata o:title=""/>
                <o:lock v:ext="edit" aspectratio="f"/>
                <v:textbo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1.除企业价值评估（含国资及非国资）、无形资产评估、以财务报告为目的的评估以外的资产评估业务适用本检查底稿。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对于以经营业务单元形成的且能够独立获得现金流的资产组或资产组组合，应根据评估报告中所描述的评估目的、评估对象及评估依据，判断检查底稿的适用类型（即适用企业价值评估业务检查底稿还是单项资产或资产组组合评估业务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3.检查过程中重点关注各检查项目得分在0、1.2.3分的情况，检查底稿表中只对检查得分0、1.2.3分的情况进行填报记录，即在对应检查项目中填写相应得分。</w:t>
                      </w:r>
                    </w:p>
                  </w:txbxContent>
                </v:textbox>
              </v:rect>
            </w:pict>
          </mc:Fallback>
        </mc:AlternateContent>
      </w:r>
    </w:p>
    <w:p>
      <w:pPr>
        <w:spacing w:line="360" w:lineRule="auto"/>
        <w:ind w:firstLine="556"/>
        <w:jc w:val="left"/>
        <w:rPr>
          <w:rFonts w:ascii="Times New Roman" w:hAnsi="Times New Roman" w:eastAsia="仿宋" w:cs="Times New Roman"/>
          <w:b/>
          <w:sz w:val="24"/>
          <w:szCs w:val="28"/>
        </w:rPr>
      </w:pPr>
    </w:p>
    <w:p>
      <w:pPr>
        <w:spacing w:line="360" w:lineRule="auto"/>
        <w:ind w:firstLine="556"/>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556"/>
        <w:jc w:val="left"/>
        <w:rPr>
          <w:rFonts w:ascii="Times New Roman" w:hAnsi="Times New Roman" w:eastAsia="仿宋" w:cs="Times New Roman"/>
          <w:b/>
          <w:sz w:val="24"/>
          <w:szCs w:val="28"/>
        </w:rPr>
      </w:pPr>
    </w:p>
    <w:p>
      <w:pPr>
        <w:spacing w:line="360" w:lineRule="auto"/>
        <w:ind w:firstLine="556"/>
        <w:rPr>
          <w:rFonts w:ascii="Times New Roman" w:hAnsi="Times New Roman" w:eastAsia="仿宋" w:cs="Times New Roman"/>
          <w:b/>
          <w:sz w:val="24"/>
          <w:szCs w:val="28"/>
        </w:rPr>
      </w:pPr>
    </w:p>
    <w:p>
      <w:pPr>
        <w:spacing w:line="360" w:lineRule="auto"/>
        <w:ind w:firstLine="556"/>
        <w:rPr>
          <w:rFonts w:ascii="Times New Roman" w:hAnsi="Times New Roman" w:eastAsia="仿宋" w:cs="Times New Roman"/>
          <w:b/>
          <w:sz w:val="24"/>
          <w:szCs w:val="28"/>
        </w:rPr>
      </w:pPr>
    </w:p>
    <w:p>
      <w:pPr>
        <w:spacing w:line="360" w:lineRule="auto"/>
        <w:ind w:firstLine="556"/>
        <w:rPr>
          <w:rFonts w:ascii="Times New Roman" w:hAnsi="Times New Roman" w:eastAsia="仿宋" w:cs="Times New Roman"/>
          <w:b/>
          <w:sz w:val="24"/>
          <w:szCs w:val="28"/>
        </w:rPr>
      </w:pPr>
    </w:p>
    <w:p>
      <w:pPr>
        <w:spacing w:line="360" w:lineRule="auto"/>
        <w:ind w:firstLine="482" w:firstLineChars="200"/>
        <w:contextualSpacing/>
        <w:rPr>
          <w:rFonts w:ascii="Times New Roman" w:hAnsi="Times New Roman" w:eastAsia="仿宋" w:cs="Times New Roman"/>
          <w:b/>
          <w:sz w:val="24"/>
          <w:szCs w:val="28"/>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adjustRightInd w:val="0"/>
        <w:snapToGrid w:val="0"/>
        <w:spacing w:line="360" w:lineRule="auto"/>
        <w:ind w:firstLine="480" w:firstLineChars="200"/>
        <w:rPr>
          <w:rFonts w:ascii="Times New Roman" w:hAnsi="Times New Roman" w:eastAsia="仿宋" w:cs="Times New Roman"/>
          <w:sz w:val="24"/>
        </w:rPr>
      </w:pPr>
    </w:p>
    <w:p>
      <w:pPr>
        <w:rPr>
          <w:rFonts w:ascii="Times New Roman" w:hAnsi="Times New Roman" w:eastAsia="仿宋" w:cs="Times New Roman"/>
          <w:sz w:val="24"/>
        </w:rPr>
      </w:pPr>
    </w:p>
    <w:p>
      <w:pPr>
        <w:jc w:val="center"/>
        <w:outlineLvl w:val="2"/>
        <w:rPr>
          <w:rStyle w:val="31"/>
          <w:rFonts w:ascii="Times New Roman" w:hAnsi="Times New Roman" w:eastAsia="仿宋"/>
          <w:szCs w:val="36"/>
        </w:rPr>
      </w:pPr>
      <w:bookmarkStart w:id="15" w:name="_Toc106980805"/>
      <w:bookmarkStart w:id="16" w:name="_Toc70262744"/>
      <w:r>
        <w:rPr>
          <w:rStyle w:val="31"/>
          <w:rFonts w:ascii="Times New Roman" w:hAnsi="Times New Roman" w:eastAsia="仿宋"/>
          <w:b w:val="0"/>
          <w:szCs w:val="36"/>
        </w:rPr>
        <w:t xml:space="preserve">表4-2 </w:t>
      </w:r>
      <w:r>
        <w:rPr>
          <w:rStyle w:val="31"/>
          <w:rFonts w:ascii="Times New Roman" w:hAnsi="Times New Roman" w:eastAsia="仿宋"/>
          <w:szCs w:val="36"/>
        </w:rPr>
        <w:t>企业价值评估（非国资）</w:t>
      </w:r>
      <w:r>
        <w:rPr>
          <w:rStyle w:val="31"/>
          <w:rFonts w:hint="eastAsia" w:ascii="Times New Roman" w:hAnsi="Times New Roman" w:eastAsia="仿宋"/>
          <w:szCs w:val="36"/>
          <w:lang w:eastAsia="zh-CN"/>
        </w:rPr>
        <w:t>自查</w:t>
      </w:r>
      <w:r>
        <w:rPr>
          <w:rStyle w:val="31"/>
          <w:rFonts w:ascii="Times New Roman" w:hAnsi="Times New Roman" w:eastAsia="仿宋"/>
          <w:szCs w:val="36"/>
        </w:rPr>
        <w:t>底稿</w:t>
      </w:r>
      <w:bookmarkEnd w:id="15"/>
      <w:bookmarkEnd w:id="16"/>
    </w:p>
    <w:tbl>
      <w:tblPr>
        <w:tblStyle w:val="25"/>
        <w:tblW w:w="5000" w:type="pct"/>
        <w:tblInd w:w="0" w:type="dxa"/>
        <w:tblLayout w:type="autofit"/>
        <w:tblCellMar>
          <w:top w:w="0" w:type="dxa"/>
          <w:left w:w="108" w:type="dxa"/>
          <w:bottom w:w="0" w:type="dxa"/>
          <w:right w:w="108" w:type="dxa"/>
        </w:tblCellMar>
      </w:tblPr>
      <w:tblGrid>
        <w:gridCol w:w="950"/>
        <w:gridCol w:w="6105"/>
        <w:gridCol w:w="1047"/>
        <w:gridCol w:w="619"/>
      </w:tblGrid>
      <w:tr>
        <w:tblPrEx>
          <w:tblCellMar>
            <w:top w:w="0" w:type="dxa"/>
            <w:left w:w="108" w:type="dxa"/>
            <w:bottom w:w="0" w:type="dxa"/>
            <w:right w:w="108" w:type="dxa"/>
          </w:tblCellMar>
        </w:tblPrEx>
        <w:trPr>
          <w:trHeight w:val="349" w:hRule="atLeast"/>
          <w:tblHeader/>
        </w:trPr>
        <w:tc>
          <w:tcPr>
            <w:tcW w:w="5000" w:type="pct"/>
            <w:gridSpan w:val="4"/>
            <w:tcBorders>
              <w:top w:val="nil"/>
              <w:left w:val="nil"/>
              <w:bottom w:val="single" w:color="000000" w:sz="4" w:space="0"/>
              <w:right w:val="nil"/>
            </w:tcBorders>
            <w:shd w:val="clear" w:color="auto" w:fill="auto"/>
            <w:noWrap/>
            <w:vAlign w:val="center"/>
          </w:tcPr>
          <w:p>
            <w:pPr>
              <w:spacing w:line="400" w:lineRule="exact"/>
              <w:rPr>
                <w:rFonts w:ascii="Times New Roman" w:hAnsi="Times New Roman" w:eastAsia="仿宋" w:cs="Times New Roman"/>
                <w:b/>
                <w:bCs/>
                <w:sz w:val="24"/>
                <w:szCs w:val="24"/>
              </w:rPr>
            </w:pP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 xml:space="preserve">单位名称：                              </w:t>
            </w: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 xml:space="preserve">报告文号： </w:t>
            </w:r>
            <w:r>
              <w:rPr>
                <w:rFonts w:ascii="Times New Roman" w:hAnsi="Times New Roman" w:eastAsia="仿宋" w:cs="Times New Roman"/>
                <w:b/>
                <w:bCs/>
                <w:kern w:val="0"/>
                <w:sz w:val="24"/>
                <w:szCs w:val="24"/>
                <w:lang w:bidi="ar"/>
              </w:rPr>
              <w:t xml:space="preserve">              </w:t>
            </w:r>
          </w:p>
        </w:tc>
      </w:tr>
      <w:tr>
        <w:tblPrEx>
          <w:tblCellMar>
            <w:top w:w="0" w:type="dxa"/>
            <w:left w:w="108" w:type="dxa"/>
            <w:bottom w:w="0" w:type="dxa"/>
            <w:right w:w="108" w:type="dxa"/>
          </w:tblCellMar>
        </w:tblPrEx>
        <w:trPr>
          <w:trHeight w:val="705" w:hRule="atLeast"/>
          <w:tblHeader/>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序号</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ascii="Times New Roman" w:hAnsi="Times New Roman" w:eastAsia="仿宋" w:cs="Times New Roman"/>
                <w:b/>
                <w:bCs/>
                <w:kern w:val="0"/>
                <w:sz w:val="22"/>
                <w:lang w:bidi="ar"/>
              </w:rPr>
              <w:t>内容</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hint="eastAsia" w:ascii="Times New Roman" w:hAnsi="Times New Roman" w:eastAsia="仿宋" w:cs="Times New Roman"/>
                <w:b/>
                <w:bCs/>
                <w:kern w:val="0"/>
                <w:sz w:val="22"/>
                <w:lang w:bidi="ar"/>
              </w:rPr>
              <w:t>得分</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索引</w:t>
            </w:r>
          </w:p>
        </w:tc>
      </w:tr>
      <w:tr>
        <w:tblPrEx>
          <w:tblCellMar>
            <w:top w:w="0" w:type="dxa"/>
            <w:left w:w="108" w:type="dxa"/>
            <w:bottom w:w="0" w:type="dxa"/>
            <w:right w:w="108" w:type="dxa"/>
          </w:tblCellMar>
        </w:tblPrEx>
        <w:trPr>
          <w:trHeight w:val="349"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一、评估工作底稿的规范性和完备性</w:t>
            </w: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明确业务基本事项</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b/>
                <w:bCs/>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 </w:instrText>
            </w:r>
            <w:r>
              <w:fldChar w:fldCharType="separate"/>
            </w:r>
            <w:r>
              <w:rPr>
                <w:rStyle w:val="28"/>
                <w:rFonts w:ascii="Times New Roman" w:hAnsi="Times New Roman" w:eastAsia="仿宋" w:cs="Times New Roman"/>
                <w:color w:val="auto"/>
                <w:sz w:val="22"/>
                <w:u w:val="none"/>
              </w:rPr>
              <w:t>资产评估业务基本事项</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"操作说明!A25" </w:instrText>
            </w:r>
            <w:r>
              <w:fldChar w:fldCharType="separate"/>
            </w:r>
            <w:r>
              <w:rPr>
                <w:rStyle w:val="28"/>
                <w:rFonts w:ascii="Times New Roman" w:hAnsi="Times New Roman" w:eastAsia="仿宋" w:cs="Times New Roman"/>
                <w:color w:val="auto"/>
                <w:sz w:val="22"/>
                <w:u w:val="none"/>
              </w:rPr>
              <w:t>专业能力分析和评价</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"操作说明!A38" </w:instrText>
            </w:r>
            <w:r>
              <w:fldChar w:fldCharType="separate"/>
            </w:r>
            <w:r>
              <w:rPr>
                <w:rStyle w:val="28"/>
                <w:rFonts w:ascii="Times New Roman" w:hAnsi="Times New Roman" w:eastAsia="仿宋" w:cs="Times New Roman"/>
                <w:color w:val="auto"/>
                <w:sz w:val="22"/>
                <w:u w:val="none"/>
              </w:rPr>
              <w:t>独立性分析和评价</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"操作说明!A54" </w:instrText>
            </w:r>
            <w:r>
              <w:fldChar w:fldCharType="separate"/>
            </w:r>
            <w:r>
              <w:rPr>
                <w:rStyle w:val="28"/>
                <w:rFonts w:ascii="Times New Roman" w:hAnsi="Times New Roman" w:eastAsia="仿宋" w:cs="Times New Roman"/>
                <w:color w:val="auto"/>
                <w:sz w:val="22"/>
                <w:u w:val="none"/>
              </w:rPr>
              <w:t>业务风险分析和评价</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"操作说明!A69" </w:instrText>
            </w:r>
            <w:r>
              <w:fldChar w:fldCharType="separate"/>
            </w:r>
            <w:r>
              <w:rPr>
                <w:rStyle w:val="28"/>
                <w:rFonts w:ascii="Times New Roman" w:hAnsi="Times New Roman" w:eastAsia="仿宋" w:cs="Times New Roman"/>
                <w:color w:val="auto"/>
                <w:sz w:val="22"/>
                <w:u w:val="none"/>
              </w:rPr>
              <w:t>利用专家工作分析和评价</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"操作说明!A89" </w:instrText>
            </w:r>
            <w:r>
              <w:fldChar w:fldCharType="separate"/>
            </w:r>
            <w:r>
              <w:rPr>
                <w:rStyle w:val="28"/>
                <w:rFonts w:ascii="Times New Roman" w:hAnsi="Times New Roman" w:eastAsia="仿宋" w:cs="Times New Roman"/>
                <w:color w:val="auto"/>
                <w:sz w:val="22"/>
                <w:u w:val="none"/>
              </w:rPr>
              <w:t>评估业务承接综合分析和评价</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"操作说明!A99" </w:instrText>
            </w:r>
            <w:r>
              <w:fldChar w:fldCharType="separate"/>
            </w:r>
            <w:r>
              <w:rPr>
                <w:rStyle w:val="28"/>
                <w:rFonts w:ascii="Times New Roman" w:hAnsi="Times New Roman" w:eastAsia="仿宋" w:cs="Times New Roman"/>
                <w:color w:val="auto"/>
                <w:sz w:val="22"/>
                <w:u w:val="none"/>
              </w:rPr>
              <w:t>订立资产评估委托合同</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"操作说明!A127" </w:instrText>
            </w:r>
            <w:r>
              <w:fldChar w:fldCharType="separate"/>
            </w:r>
            <w:r>
              <w:rPr>
                <w:rStyle w:val="28"/>
                <w:rFonts w:ascii="Times New Roman" w:hAnsi="Times New Roman" w:eastAsia="仿宋" w:cs="Times New Roman"/>
                <w:color w:val="auto"/>
                <w:sz w:val="22"/>
                <w:u w:val="none"/>
              </w:rPr>
              <w:t>编制资产评估计划</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现场调查</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b/>
                <w:bCs/>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"操作说明!A143" </w:instrText>
            </w:r>
            <w:r>
              <w:fldChar w:fldCharType="separate"/>
            </w:r>
            <w:r>
              <w:rPr>
                <w:rStyle w:val="28"/>
                <w:rFonts w:ascii="Times New Roman" w:hAnsi="Times New Roman" w:eastAsia="仿宋" w:cs="Times New Roman"/>
                <w:color w:val="auto"/>
                <w:sz w:val="22"/>
                <w:u w:val="none"/>
              </w:rPr>
              <w:t>选择了与评估项目相适应的现场调查方式</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"操作说明!A156" </w:instrText>
            </w:r>
            <w:r>
              <w:fldChar w:fldCharType="separate"/>
            </w:r>
            <w:r>
              <w:rPr>
                <w:rStyle w:val="28"/>
                <w:rFonts w:ascii="Times New Roman" w:hAnsi="Times New Roman" w:eastAsia="仿宋" w:cs="Times New Roman"/>
                <w:color w:val="auto"/>
                <w:sz w:val="22"/>
                <w:u w:val="none"/>
              </w:rPr>
              <w:t>可以根据重要性原则采用逐项或者抽样的方式进行现场调查</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"操作说明!A170" </w:instrText>
            </w:r>
            <w:r>
              <w:fldChar w:fldCharType="separate"/>
            </w:r>
            <w:r>
              <w:rPr>
                <w:rStyle w:val="28"/>
                <w:rFonts w:ascii="Times New Roman" w:hAnsi="Times New Roman" w:eastAsia="仿宋" w:cs="Times New Roman"/>
                <w:color w:val="auto"/>
                <w:sz w:val="22"/>
                <w:u w:val="none"/>
              </w:rPr>
              <w:t>采用询问、访谈方式进行现场调查</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"操作说明!A181" </w:instrText>
            </w:r>
            <w:r>
              <w:fldChar w:fldCharType="separate"/>
            </w:r>
            <w:r>
              <w:rPr>
                <w:rStyle w:val="28"/>
                <w:rFonts w:ascii="Times New Roman" w:hAnsi="Times New Roman" w:eastAsia="仿宋" w:cs="Times New Roman"/>
                <w:color w:val="auto"/>
                <w:sz w:val="22"/>
                <w:u w:val="none"/>
              </w:rPr>
              <w:t>采用核对、监盘、勘查等方式进行现场调查</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"操作说明!A195" </w:instrText>
            </w:r>
            <w:r>
              <w:fldChar w:fldCharType="separate"/>
            </w:r>
            <w:r>
              <w:rPr>
                <w:rStyle w:val="28"/>
                <w:rFonts w:ascii="Times New Roman" w:hAnsi="Times New Roman" w:eastAsia="仿宋" w:cs="Times New Roman"/>
                <w:color w:val="auto"/>
                <w:sz w:val="22"/>
                <w:u w:val="none"/>
              </w:rPr>
              <w:t>经营和会计核算查阅记录</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"操作说明!A208" </w:instrText>
            </w:r>
            <w:r>
              <w:fldChar w:fldCharType="separate"/>
            </w:r>
            <w:r>
              <w:rPr>
                <w:rStyle w:val="28"/>
                <w:rFonts w:ascii="Times New Roman" w:hAnsi="Times New Roman" w:eastAsia="仿宋" w:cs="Times New Roman"/>
                <w:color w:val="auto"/>
                <w:sz w:val="22"/>
                <w:u w:val="none"/>
              </w:rPr>
              <w:t>现场调查受到客观限制时采取的其他适用方法和纪录</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收集评估资料，包括下列内容：</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b/>
                <w:bCs/>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758"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收集被评估单位的信息资料及与其相关的其它信息资料，并进行审慎分析，确信信息来源是可靠的和适当的（包括但不限于以下方面）：</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"操作说明!A224" </w:instrText>
            </w:r>
            <w:r>
              <w:fldChar w:fldCharType="separate"/>
            </w:r>
            <w:r>
              <w:rPr>
                <w:rStyle w:val="28"/>
                <w:rFonts w:ascii="Times New Roman" w:hAnsi="Times New Roman" w:eastAsia="仿宋" w:cs="Times New Roman"/>
                <w:color w:val="auto"/>
                <w:sz w:val="22"/>
                <w:u w:val="none"/>
              </w:rPr>
              <w:t>评估对象权益状况相关的协议、章程、股权证明等有关法律文件</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61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"操作说明!A236" </w:instrText>
            </w:r>
            <w:r>
              <w:fldChar w:fldCharType="separate"/>
            </w:r>
            <w:r>
              <w:rPr>
                <w:rStyle w:val="28"/>
                <w:rFonts w:ascii="Times New Roman" w:hAnsi="Times New Roman" w:eastAsia="仿宋" w:cs="Times New Roman"/>
                <w:color w:val="auto"/>
                <w:sz w:val="22"/>
                <w:u w:val="none"/>
              </w:rPr>
              <w:t>被评估单位历史沿革、控股股东及股东持股比例、经营管理结构和产权架构资料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"操作说明!A248" </w:instrText>
            </w:r>
            <w:r>
              <w:fldChar w:fldCharType="separate"/>
            </w:r>
            <w:r>
              <w:rPr>
                <w:rStyle w:val="28"/>
                <w:rFonts w:ascii="Times New Roman" w:hAnsi="Times New Roman" w:eastAsia="仿宋" w:cs="Times New Roman"/>
                <w:color w:val="auto"/>
                <w:sz w:val="22"/>
                <w:u w:val="none"/>
              </w:rPr>
              <w:t>被评估单位的业务、资产、财务、人员及经营状况资料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"操作说明!A263" </w:instrText>
            </w:r>
            <w:r>
              <w:fldChar w:fldCharType="separate"/>
            </w:r>
            <w:r>
              <w:rPr>
                <w:rStyle w:val="28"/>
                <w:rFonts w:ascii="Times New Roman" w:hAnsi="Times New Roman" w:eastAsia="仿宋" w:cs="Times New Roman"/>
                <w:color w:val="auto"/>
                <w:sz w:val="22"/>
                <w:u w:val="none"/>
              </w:rPr>
              <w:t>被评估单位经营计划、发展规划和收益预测资料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"操作说明!A278" </w:instrText>
            </w:r>
            <w:r>
              <w:fldChar w:fldCharType="separate"/>
            </w:r>
            <w:r>
              <w:rPr>
                <w:rStyle w:val="28"/>
                <w:rFonts w:ascii="Times New Roman" w:hAnsi="Times New Roman" w:eastAsia="仿宋" w:cs="Times New Roman"/>
                <w:color w:val="auto"/>
                <w:sz w:val="22"/>
                <w:u w:val="none"/>
              </w:rPr>
              <w:t>评估对象涉及的主要资产权属证明资料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⑥</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"操作说明!A291" </w:instrText>
            </w:r>
            <w:r>
              <w:fldChar w:fldCharType="separate"/>
            </w:r>
            <w:r>
              <w:rPr>
                <w:rStyle w:val="28"/>
                <w:rFonts w:ascii="Times New Roman" w:hAnsi="Times New Roman" w:eastAsia="仿宋" w:cs="Times New Roman"/>
                <w:color w:val="auto"/>
                <w:sz w:val="22"/>
                <w:u w:val="none"/>
              </w:rPr>
              <w:t>评估对象、被评估单位以往的评估及交易资料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⑦</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"操作说明!A303" </w:instrText>
            </w:r>
            <w:r>
              <w:fldChar w:fldCharType="separate"/>
            </w:r>
            <w:r>
              <w:rPr>
                <w:rStyle w:val="28"/>
                <w:rFonts w:ascii="Times New Roman" w:hAnsi="Times New Roman" w:eastAsia="仿宋" w:cs="Times New Roman"/>
                <w:color w:val="auto"/>
                <w:sz w:val="22"/>
                <w:u w:val="none"/>
              </w:rPr>
              <w:t>影响被评估单位经营的宏观、区域经济因素资料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⑧</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"操作说明!A313" </w:instrText>
            </w:r>
            <w:r>
              <w:fldChar w:fldCharType="separate"/>
            </w:r>
            <w:r>
              <w:rPr>
                <w:rStyle w:val="28"/>
                <w:rFonts w:ascii="Times New Roman" w:hAnsi="Times New Roman" w:eastAsia="仿宋" w:cs="Times New Roman"/>
                <w:color w:val="auto"/>
                <w:sz w:val="22"/>
                <w:u w:val="none"/>
              </w:rPr>
              <w:t>被评估单位所在行业现状与发展前景资料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"操作说明!A323" </w:instrText>
            </w:r>
            <w:r>
              <w:fldChar w:fldCharType="separate"/>
            </w:r>
            <w:r>
              <w:rPr>
                <w:rStyle w:val="28"/>
                <w:rFonts w:ascii="Times New Roman" w:hAnsi="Times New Roman" w:eastAsia="仿宋" w:cs="Times New Roman"/>
                <w:color w:val="auto"/>
                <w:sz w:val="22"/>
                <w:u w:val="none"/>
              </w:rPr>
              <w:t>证券市场、产权交易市场等市场的有关资料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⑩</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"操作说明!A333" </w:instrText>
            </w:r>
            <w:r>
              <w:fldChar w:fldCharType="separate"/>
            </w:r>
            <w:r>
              <w:rPr>
                <w:rStyle w:val="28"/>
                <w:rFonts w:ascii="Times New Roman" w:hAnsi="Times New Roman" w:eastAsia="仿宋" w:cs="Times New Roman"/>
                <w:color w:val="auto"/>
                <w:sz w:val="22"/>
                <w:u w:val="none"/>
              </w:rPr>
              <w:t>可比企业的经营情况、财务信息、股票价格或者股权交易价格等资料</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⑪</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"操作说明!A346" </w:instrText>
            </w:r>
            <w:r>
              <w:fldChar w:fldCharType="separate"/>
            </w:r>
            <w:r>
              <w:rPr>
                <w:rStyle w:val="28"/>
                <w:rFonts w:ascii="Times New Roman" w:hAnsi="Times New Roman" w:eastAsia="仿宋" w:cs="Times New Roman"/>
                <w:color w:val="auto"/>
                <w:sz w:val="22"/>
                <w:u w:val="none"/>
              </w:rPr>
              <w:t>评估目的对应的经济行为文件</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Style w:val="36"/>
                <w:rFonts w:ascii="Cambria Math" w:hAnsi="Cambria Math" w:eastAsia="仿宋" w:cs="Cambria Math"/>
                <w:color w:val="auto"/>
                <w:lang w:bidi="ar"/>
              </w:rPr>
              <w:t>⑫</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"操作说明!A359" </w:instrText>
            </w:r>
            <w:r>
              <w:fldChar w:fldCharType="separate"/>
            </w:r>
            <w:r>
              <w:rPr>
                <w:rStyle w:val="28"/>
                <w:rFonts w:ascii="Times New Roman" w:hAnsi="Times New Roman" w:eastAsia="仿宋" w:cs="Times New Roman"/>
                <w:color w:val="auto"/>
                <w:sz w:val="22"/>
                <w:u w:val="none"/>
              </w:rPr>
              <w:t>有被评估企业所申报的资产和负债明细表</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Style w:val="36"/>
                <w:rFonts w:ascii="Cambria Math" w:hAnsi="Cambria Math" w:eastAsia="仿宋" w:cs="Cambria Math"/>
                <w:color w:val="auto"/>
                <w:lang w:bidi="ar"/>
              </w:rPr>
              <w:t>⑬</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"操作说明!A373" </w:instrText>
            </w:r>
            <w:r>
              <w:fldChar w:fldCharType="separate"/>
            </w:r>
            <w:r>
              <w:rPr>
                <w:rStyle w:val="28"/>
                <w:rFonts w:ascii="Times New Roman" w:hAnsi="Times New Roman" w:eastAsia="仿宋" w:cs="Times New Roman"/>
                <w:color w:val="auto"/>
                <w:sz w:val="22"/>
                <w:u w:val="none"/>
              </w:rPr>
              <w:t>收集的有关询价资料、参数资料等</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612"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"操作说明!A385" </w:instrText>
            </w:r>
            <w:r>
              <w:fldChar w:fldCharType="separate"/>
            </w:r>
            <w:r>
              <w:rPr>
                <w:rStyle w:val="28"/>
                <w:rFonts w:ascii="Times New Roman" w:hAnsi="Times New Roman" w:eastAsia="仿宋" w:cs="Times New Roman"/>
                <w:color w:val="auto"/>
                <w:sz w:val="22"/>
                <w:u w:val="none"/>
              </w:rPr>
              <w:t>对所采用的被评估单位和可比企业财务报表或者公开财务资料进行分析和判断</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912"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textAlignment w:val="center"/>
              <w:rPr>
                <w:rFonts w:ascii="Times New Roman" w:hAnsi="Times New Roman" w:eastAsia="仿宋" w:cs="Times New Roman"/>
                <w:sz w:val="22"/>
              </w:rPr>
            </w:pPr>
            <w:r>
              <w:fldChar w:fldCharType="begin"/>
            </w:r>
            <w:r>
              <w:instrText xml:space="preserve"> HYPERLINK \l "操作说明!A398" </w:instrText>
            </w:r>
            <w:r>
              <w:fldChar w:fldCharType="separate"/>
            </w:r>
            <w:r>
              <w:rPr>
                <w:rStyle w:val="28"/>
                <w:rFonts w:ascii="Times New Roman" w:hAnsi="Times New Roman" w:eastAsia="仿宋" w:cs="Times New Roman"/>
                <w:color w:val="auto"/>
                <w:sz w:val="22"/>
                <w:u w:val="none"/>
              </w:rPr>
              <w:t>采用收益法或市场法进行企业价值评估时，可以对被评估单位和可比企业财务报表进行分析和必要的调整（对历史财务数据的调整通常包括以下事项）：</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调整被评估企业和可比企业财务报表的编制基础</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调整非经常性收入和支出</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调整非经营性资产、负债和溢余资产及与其相关的收入和支出</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758"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textAlignment w:val="center"/>
              <w:rPr>
                <w:rFonts w:ascii="Times New Roman" w:hAnsi="Times New Roman" w:eastAsia="仿宋" w:cs="Times New Roman"/>
                <w:sz w:val="22"/>
              </w:rPr>
            </w:pPr>
            <w:r>
              <w:fldChar w:fldCharType="begin"/>
            </w:r>
            <w:r>
              <w:instrText xml:space="preserve"> HYPERLINK \l "操作说明!A433" </w:instrText>
            </w:r>
            <w:r>
              <w:fldChar w:fldCharType="separate"/>
            </w:r>
            <w:r>
              <w:rPr>
                <w:rStyle w:val="28"/>
                <w:rFonts w:ascii="Times New Roman" w:hAnsi="Times New Roman" w:eastAsia="仿宋" w:cs="Times New Roman"/>
                <w:color w:val="auto"/>
                <w:sz w:val="22"/>
                <w:u w:val="none"/>
              </w:rPr>
              <w:t>在与委托人、相关当事方沟通基础上的，对企业资产配置和使用的情况，以及非经营性资产、负债和溢余资产情况的分析或说明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委托人、相关当事方对被评估单位资产配置和使用情况的说明</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评估人员对非经营性资产、负债和溢余资产情况的分析或说明</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"操作说明!A442" </w:instrText>
            </w:r>
            <w:r>
              <w:fldChar w:fldCharType="separate"/>
            </w:r>
            <w:r>
              <w:rPr>
                <w:rStyle w:val="28"/>
                <w:rFonts w:ascii="Times New Roman" w:hAnsi="Times New Roman" w:eastAsia="仿宋" w:cs="Times New Roman"/>
                <w:color w:val="auto"/>
                <w:sz w:val="22"/>
                <w:u w:val="none"/>
              </w:rPr>
              <w:t>对评估活动中使用的资料进行核查验证</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评定估算，包括下列内容：</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b/>
                <w:bCs/>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"操作说明!A460" </w:instrText>
            </w:r>
            <w:r>
              <w:fldChar w:fldCharType="separate"/>
            </w:r>
            <w:r>
              <w:rPr>
                <w:rStyle w:val="28"/>
                <w:rFonts w:ascii="Times New Roman" w:hAnsi="Times New Roman" w:eastAsia="仿宋" w:cs="Times New Roman"/>
                <w:color w:val="auto"/>
                <w:sz w:val="22"/>
                <w:u w:val="none"/>
              </w:rPr>
              <w:t>评估方法选择的适用性分析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运用收益法进行企业价值评估时：</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"操作说明!A472" </w:instrText>
            </w:r>
            <w:r>
              <w:fldChar w:fldCharType="separate"/>
            </w:r>
            <w:r>
              <w:rPr>
                <w:rStyle w:val="28"/>
                <w:rFonts w:ascii="Times New Roman" w:hAnsi="Times New Roman" w:eastAsia="仿宋" w:cs="Times New Roman"/>
                <w:color w:val="auto"/>
                <w:sz w:val="22"/>
                <w:u w:val="none"/>
              </w:rPr>
              <w:t>收益法具体方法选择的适当性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9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对委托人和其他相关当事人提供的企业未来收益资料，并从以下方面进行必要的分析、判断和调整，合理确定评估假设，形成未来收益预测</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69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"操作说明!A490" </w:instrText>
            </w:r>
            <w:r>
              <w:fldChar w:fldCharType="separate"/>
            </w:r>
            <w:r>
              <w:rPr>
                <w:rStyle w:val="28"/>
                <w:rFonts w:ascii="Times New Roman" w:hAnsi="Times New Roman" w:eastAsia="仿宋" w:cs="Times New Roman"/>
                <w:color w:val="auto"/>
                <w:sz w:val="22"/>
                <w:u w:val="none"/>
              </w:rPr>
              <w:t>结合被评估单位的人力资源、技术水平、资本结构、经营状况、 历史业绩、发展趋势，考虑宏观经济因素、所在行业现状与发展前景</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58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"操作说明!A499" </w:instrText>
            </w:r>
            <w:r>
              <w:fldChar w:fldCharType="separate"/>
            </w:r>
            <w:r>
              <w:rPr>
                <w:rStyle w:val="28"/>
                <w:rFonts w:ascii="Times New Roman" w:hAnsi="Times New Roman" w:eastAsia="仿宋" w:cs="Times New Roman"/>
                <w:color w:val="auto"/>
                <w:sz w:val="22"/>
                <w:u w:val="none"/>
              </w:rPr>
              <w:t>对所采用的被评估单位和可比企业财务指标的合理性进行分析和判断</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983"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"操作说明!A508" </w:instrText>
            </w:r>
            <w:r>
              <w:fldChar w:fldCharType="separate"/>
            </w:r>
            <w:r>
              <w:rPr>
                <w:rStyle w:val="28"/>
                <w:rFonts w:ascii="Times New Roman" w:hAnsi="Times New Roman" w:eastAsia="仿宋" w:cs="Times New Roman"/>
                <w:color w:val="auto"/>
                <w:sz w:val="22"/>
                <w:u w:val="none"/>
              </w:rPr>
              <w:t>应当与委托人和其他相关当事人进行沟通，了解被评估单位资产配置和使用情况，谨慎识别非经营性资产、负债和溢余资产，并根据相关信息获得情况以及对评估结论的影响程度，确定是否单独评估</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67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"操作说明!A519" </w:instrText>
            </w:r>
            <w:r>
              <w:fldChar w:fldCharType="separate"/>
            </w:r>
            <w:r>
              <w:rPr>
                <w:rStyle w:val="28"/>
                <w:rFonts w:ascii="Times New Roman" w:hAnsi="Times New Roman" w:eastAsia="仿宋" w:cs="Times New Roman"/>
                <w:color w:val="auto"/>
                <w:sz w:val="22"/>
                <w:u w:val="none"/>
              </w:rPr>
              <w:t>收集被评估企业所涉及交易、收入、支出、投资等业务合法性和未来预测可靠性的证据</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"操作说明!A528" </w:instrText>
            </w:r>
            <w:r>
              <w:fldChar w:fldCharType="separate"/>
            </w:r>
            <w:r>
              <w:rPr>
                <w:rStyle w:val="28"/>
                <w:rFonts w:ascii="Times New Roman" w:hAnsi="Times New Roman" w:eastAsia="仿宋" w:cs="Times New Roman"/>
                <w:color w:val="auto"/>
                <w:sz w:val="22"/>
                <w:u w:val="none"/>
              </w:rPr>
              <w:t>分析预测的支持证据充分性，恰当性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57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"操作说明!A538" </w:instrText>
            </w:r>
            <w:r>
              <w:fldChar w:fldCharType="separate"/>
            </w:r>
            <w:r>
              <w:rPr>
                <w:rStyle w:val="28"/>
                <w:rFonts w:ascii="Times New Roman" w:hAnsi="Times New Roman" w:eastAsia="仿宋" w:cs="Times New Roman"/>
                <w:color w:val="auto"/>
                <w:sz w:val="22"/>
                <w:u w:val="none"/>
              </w:rPr>
              <w:t>结合企业自身与行业状况，考虑未来发展可能出现的不同情况及其影响的基础上，评估假设具有合理性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"操作说明!A548" </w:instrText>
            </w:r>
            <w:r>
              <w:fldChar w:fldCharType="separate"/>
            </w:r>
            <w:r>
              <w:rPr>
                <w:rStyle w:val="28"/>
                <w:rFonts w:ascii="Times New Roman" w:hAnsi="Times New Roman" w:eastAsia="仿宋" w:cs="Times New Roman"/>
                <w:color w:val="auto"/>
                <w:sz w:val="22"/>
                <w:u w:val="none"/>
              </w:rPr>
              <w:t>各主要预测数据计算方法的恰当性，测算过程的合理性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983"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"操作说明!A559" </w:instrText>
            </w:r>
            <w:r>
              <w:fldChar w:fldCharType="separate"/>
            </w:r>
            <w:r>
              <w:rPr>
                <w:rStyle w:val="28"/>
                <w:rFonts w:ascii="Times New Roman" w:hAnsi="Times New Roman" w:eastAsia="仿宋" w:cs="Times New Roman"/>
                <w:color w:val="auto"/>
                <w:sz w:val="22"/>
                <w:u w:val="none"/>
              </w:rPr>
              <w:t>当委托人和其他相关当事人未提供收益预测，资产评估专业人员应当收集和利用形成未来收益预测的相关资料，并履行核查验证程序，在具备预测条件的情况下编制收益预测表</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99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"操作说明!A571" </w:instrText>
            </w:r>
            <w:r>
              <w:fldChar w:fldCharType="separate"/>
            </w:r>
            <w:r>
              <w:rPr>
                <w:rStyle w:val="28"/>
                <w:rFonts w:ascii="Times New Roman" w:hAnsi="Times New Roman" w:eastAsia="仿宋" w:cs="Times New Roman"/>
                <w:color w:val="auto"/>
                <w:sz w:val="22"/>
                <w:u w:val="none"/>
              </w:rPr>
              <w:t>关注未来收益预测中经营管理、业务架构、主营业务收入、毛利率、营运资金、资本性支出、资本结构等主要参数与评估假设、价值类型的一致性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105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"操作说明!A582" </w:instrText>
            </w:r>
            <w:r>
              <w:fldChar w:fldCharType="separate"/>
            </w:r>
            <w:r>
              <w:rPr>
                <w:rStyle w:val="28"/>
                <w:rFonts w:ascii="Times New Roman" w:hAnsi="Times New Roman" w:eastAsia="仿宋" w:cs="Times New Roman"/>
                <w:color w:val="auto"/>
                <w:sz w:val="22"/>
                <w:u w:val="none"/>
              </w:rPr>
              <w:t>当预测趋势与历史业绩和现实经营状况存在重大差异时，资产评估专业人员应当在资产评估报告中予以披露，并对产生差异的原因及其合理性进行说明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⑥</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"操作说明!A593" </w:instrText>
            </w:r>
            <w:r>
              <w:fldChar w:fldCharType="separate"/>
            </w:r>
            <w:r>
              <w:rPr>
                <w:rStyle w:val="28"/>
                <w:rFonts w:ascii="Times New Roman" w:hAnsi="Times New Roman" w:eastAsia="仿宋" w:cs="Times New Roman"/>
                <w:color w:val="auto"/>
                <w:sz w:val="22"/>
                <w:u w:val="none"/>
              </w:rPr>
              <w:t>恰当确定收益期</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⑦</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"操作说明!A602" </w:instrText>
            </w:r>
            <w:r>
              <w:fldChar w:fldCharType="separate"/>
            </w:r>
            <w:r>
              <w:rPr>
                <w:rStyle w:val="28"/>
                <w:rFonts w:ascii="Times New Roman" w:hAnsi="Times New Roman" w:eastAsia="仿宋" w:cs="Times New Roman"/>
                <w:color w:val="auto"/>
                <w:sz w:val="22"/>
                <w:u w:val="none"/>
              </w:rPr>
              <w:t>合理确定详细预测期</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⑧</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"操作说明!A611" </w:instrText>
            </w:r>
            <w:r>
              <w:fldChar w:fldCharType="separate"/>
            </w:r>
            <w:r>
              <w:rPr>
                <w:rStyle w:val="28"/>
                <w:rFonts w:ascii="Times New Roman" w:hAnsi="Times New Roman" w:eastAsia="仿宋" w:cs="Times New Roman"/>
                <w:color w:val="auto"/>
                <w:sz w:val="22"/>
                <w:u w:val="none"/>
              </w:rPr>
              <w:t>合理确定折现率</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⑨</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"操作说明!A620" </w:instrText>
            </w:r>
            <w:r>
              <w:fldChar w:fldCharType="separate"/>
            </w:r>
            <w:r>
              <w:rPr>
                <w:rStyle w:val="28"/>
                <w:rFonts w:ascii="Times New Roman" w:hAnsi="Times New Roman" w:eastAsia="仿宋" w:cs="Times New Roman"/>
                <w:color w:val="auto"/>
                <w:sz w:val="22"/>
                <w:u w:val="none"/>
              </w:rPr>
              <w:t>折现率计算的正确性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⑩</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"操作说明!A629" </w:instrText>
            </w:r>
            <w:r>
              <w:fldChar w:fldCharType="separate"/>
            </w:r>
            <w:r>
              <w:rPr>
                <w:rStyle w:val="28"/>
                <w:rFonts w:ascii="Times New Roman" w:hAnsi="Times New Roman" w:eastAsia="仿宋" w:cs="Times New Roman"/>
                <w:color w:val="auto"/>
                <w:sz w:val="22"/>
                <w:u w:val="none"/>
              </w:rPr>
              <w:t>考虑收益预测期后的收益情况及相关终值计算的恰当性　</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⑪</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"操作说明!A640" </w:instrText>
            </w:r>
            <w:r>
              <w:fldChar w:fldCharType="separate"/>
            </w:r>
            <w:r>
              <w:rPr>
                <w:rStyle w:val="28"/>
                <w:rFonts w:ascii="Times New Roman" w:hAnsi="Times New Roman" w:eastAsia="仿宋" w:cs="Times New Roman"/>
                <w:color w:val="auto"/>
                <w:sz w:val="22"/>
                <w:u w:val="none"/>
              </w:rPr>
              <w:t>折现率与预期收益的口径保持一致</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⑫</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"操作说明!A651" </w:instrText>
            </w:r>
            <w:r>
              <w:fldChar w:fldCharType="separate"/>
            </w:r>
            <w:r>
              <w:rPr>
                <w:rStyle w:val="28"/>
                <w:rFonts w:ascii="Times New Roman" w:hAnsi="Times New Roman" w:eastAsia="仿宋" w:cs="Times New Roman"/>
                <w:color w:val="auto"/>
                <w:sz w:val="22"/>
                <w:u w:val="none"/>
              </w:rPr>
              <w:t>收益折现模型（公式）运用的正确性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运用市场法进行企业价值评估时：</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"操作说明!A661" </w:instrText>
            </w:r>
            <w:r>
              <w:fldChar w:fldCharType="separate"/>
            </w:r>
            <w:r>
              <w:rPr>
                <w:rStyle w:val="28"/>
                <w:rFonts w:ascii="Times New Roman" w:hAnsi="Times New Roman" w:eastAsia="仿宋" w:cs="Times New Roman"/>
                <w:color w:val="auto"/>
                <w:sz w:val="22"/>
                <w:u w:val="none"/>
              </w:rPr>
              <w:t>市场法适用性分析及具体方法的选择合理性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"操作说明!A671" </w:instrText>
            </w:r>
            <w:r>
              <w:fldChar w:fldCharType="separate"/>
            </w:r>
            <w:r>
              <w:rPr>
                <w:rStyle w:val="28"/>
                <w:rFonts w:ascii="Times New Roman" w:hAnsi="Times New Roman" w:eastAsia="仿宋" w:cs="Times New Roman"/>
                <w:color w:val="auto"/>
                <w:sz w:val="22"/>
                <w:u w:val="none"/>
              </w:rPr>
              <w:t>所选择的可比公司与被评估单位可比性分析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"操作说明!A682" </w:instrText>
            </w:r>
            <w:r>
              <w:fldChar w:fldCharType="separate"/>
            </w:r>
            <w:r>
              <w:rPr>
                <w:rStyle w:val="28"/>
                <w:rFonts w:ascii="Times New Roman" w:hAnsi="Times New Roman" w:eastAsia="仿宋" w:cs="Times New Roman"/>
                <w:color w:val="auto"/>
                <w:sz w:val="22"/>
                <w:u w:val="none"/>
              </w:rPr>
              <w:t>对被评估单位和可比企业之间的相似性和差异性进行分析比较</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评估专业人员在选择、计算、使用价值比率时，应当考虑以下内容：</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6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"操作说明!A694" </w:instrText>
            </w:r>
            <w:r>
              <w:fldChar w:fldCharType="separate"/>
            </w:r>
            <w:r>
              <w:rPr>
                <w:rStyle w:val="28"/>
                <w:rFonts w:ascii="Times New Roman" w:hAnsi="Times New Roman" w:eastAsia="仿宋" w:cs="Times New Roman"/>
                <w:color w:val="auto"/>
                <w:sz w:val="22"/>
                <w:u w:val="none"/>
              </w:rPr>
              <w:t>选择价值比率分析、判断的过程，结果应当有利于合理确定评估对象的价值</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"操作说明!A705" </w:instrText>
            </w:r>
            <w:r>
              <w:fldChar w:fldCharType="separate"/>
            </w:r>
            <w:r>
              <w:rPr>
                <w:rStyle w:val="28"/>
                <w:rFonts w:ascii="Times New Roman" w:hAnsi="Times New Roman" w:eastAsia="仿宋" w:cs="Times New Roman"/>
                <w:color w:val="auto"/>
                <w:sz w:val="22"/>
                <w:u w:val="none"/>
              </w:rPr>
              <w:t>计算价值比率的数据口径及计算方式一致</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"操作说明!A715" </w:instrText>
            </w:r>
            <w:r>
              <w:fldChar w:fldCharType="separate"/>
            </w:r>
            <w:r>
              <w:rPr>
                <w:rStyle w:val="28"/>
                <w:rFonts w:ascii="Times New Roman" w:hAnsi="Times New Roman" w:eastAsia="仿宋" w:cs="Times New Roman"/>
                <w:color w:val="auto"/>
                <w:sz w:val="22"/>
                <w:u w:val="none"/>
              </w:rPr>
              <w:t>应用价值比率时对可比企业和被评估企业间的差异进行合理调整</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"操作说明!A729" </w:instrText>
            </w:r>
            <w:r>
              <w:fldChar w:fldCharType="separate"/>
            </w:r>
            <w:r>
              <w:rPr>
                <w:rStyle w:val="28"/>
                <w:rFonts w:ascii="Times New Roman" w:hAnsi="Times New Roman" w:eastAsia="仿宋" w:cs="Times New Roman"/>
                <w:color w:val="auto"/>
                <w:sz w:val="22"/>
                <w:u w:val="none"/>
              </w:rPr>
              <w:t>合理将可比企业或交易案例的价值比率应用于被评估企业</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"操作说明!A741" </w:instrText>
            </w:r>
            <w:r>
              <w:fldChar w:fldCharType="separate"/>
            </w:r>
            <w:r>
              <w:rPr>
                <w:rStyle w:val="28"/>
                <w:rFonts w:ascii="Times New Roman" w:hAnsi="Times New Roman" w:eastAsia="仿宋" w:cs="Times New Roman"/>
                <w:color w:val="auto"/>
                <w:sz w:val="22"/>
                <w:u w:val="none"/>
              </w:rPr>
              <w:t>评估结论应当考虑控制权、流动性对评估对象价值的影响</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6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"操作说明!A750" </w:instrText>
            </w:r>
            <w:r>
              <w:fldChar w:fldCharType="separate"/>
            </w:r>
            <w:r>
              <w:rPr>
                <w:rStyle w:val="28"/>
                <w:rFonts w:ascii="Times New Roman" w:hAnsi="Times New Roman" w:eastAsia="仿宋" w:cs="Times New Roman"/>
                <w:color w:val="auto"/>
                <w:sz w:val="22"/>
                <w:u w:val="none"/>
              </w:rPr>
              <w:t>如因客观条件限制无法考虑控制权和流动性对评估对象价值的影响，应当在资产评估报告中披露其原因以及可能造成的影响。</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运用资产基础法进行企业价值评估时：</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70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"操作说明!A759" </w:instrText>
            </w:r>
            <w:r>
              <w:fldChar w:fldCharType="separate"/>
            </w:r>
            <w:r>
              <w:rPr>
                <w:rStyle w:val="28"/>
                <w:rFonts w:ascii="Times New Roman" w:hAnsi="Times New Roman" w:eastAsia="仿宋" w:cs="Times New Roman"/>
                <w:color w:val="auto"/>
                <w:sz w:val="22"/>
                <w:u w:val="none"/>
              </w:rPr>
              <w:t>应当根据会计政策、企业经营等情况，要求被评估单位对资产负债表表内及表外的各项资产、负债进行识别</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"操作说明!A775" </w:instrText>
            </w:r>
            <w:r>
              <w:fldChar w:fldCharType="separate"/>
            </w:r>
            <w:r>
              <w:rPr>
                <w:rStyle w:val="28"/>
                <w:rFonts w:ascii="Times New Roman" w:hAnsi="Times New Roman" w:eastAsia="仿宋" w:cs="Times New Roman"/>
                <w:color w:val="auto"/>
                <w:sz w:val="22"/>
                <w:u w:val="none"/>
              </w:rPr>
              <w:t>各项资产的价值应当根据其具体情况选用适当的具体评估方法得出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"操作说明!A781" </w:instrText>
            </w:r>
            <w:r>
              <w:fldChar w:fldCharType="separate"/>
            </w:r>
            <w:r>
              <w:rPr>
                <w:rStyle w:val="28"/>
                <w:rFonts w:ascii="Times New Roman" w:hAnsi="Times New Roman" w:eastAsia="仿宋" w:cs="Times New Roman"/>
                <w:color w:val="auto"/>
                <w:sz w:val="22"/>
                <w:u w:val="none"/>
              </w:rPr>
              <w:t xml:space="preserve">流动资产（非实物部分），负债的评估方法的选择及评估过程                                                                   </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"操作说明!A792" </w:instrText>
            </w:r>
            <w:r>
              <w:fldChar w:fldCharType="separate"/>
            </w:r>
            <w:r>
              <w:rPr>
                <w:rStyle w:val="28"/>
                <w:rFonts w:ascii="Times New Roman" w:hAnsi="Times New Roman" w:eastAsia="仿宋" w:cs="Times New Roman"/>
                <w:color w:val="auto"/>
                <w:sz w:val="22"/>
                <w:u w:val="none"/>
              </w:rPr>
              <w:t>存货的评估方法、参数的确定和评估过程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"操作说明!A803" </w:instrText>
            </w:r>
            <w:r>
              <w:fldChar w:fldCharType="separate"/>
            </w:r>
            <w:r>
              <w:rPr>
                <w:rStyle w:val="28"/>
                <w:rFonts w:ascii="Times New Roman" w:hAnsi="Times New Roman" w:eastAsia="仿宋" w:cs="Times New Roman"/>
                <w:color w:val="auto"/>
                <w:sz w:val="22"/>
                <w:u w:val="none"/>
              </w:rPr>
              <w:t>投资性房地产的评估依据、评估方法和评估参数的确定和评估过程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"操作说明!A814" </w:instrText>
            </w:r>
            <w:r>
              <w:fldChar w:fldCharType="separate"/>
            </w:r>
            <w:r>
              <w:rPr>
                <w:rStyle w:val="28"/>
                <w:rFonts w:ascii="Times New Roman" w:hAnsi="Times New Roman" w:eastAsia="仿宋" w:cs="Times New Roman"/>
                <w:color w:val="auto"/>
                <w:sz w:val="22"/>
                <w:u w:val="none"/>
              </w:rPr>
              <w:t>固定资产的评估依据、评估方法和评估参数的确定和评估过程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"操作说明!A825" </w:instrText>
            </w:r>
            <w:r>
              <w:fldChar w:fldCharType="separate"/>
            </w:r>
            <w:r>
              <w:rPr>
                <w:rStyle w:val="28"/>
                <w:rFonts w:ascii="Times New Roman" w:hAnsi="Times New Roman" w:eastAsia="仿宋" w:cs="Times New Roman"/>
                <w:color w:val="auto"/>
                <w:sz w:val="22"/>
                <w:u w:val="none"/>
              </w:rPr>
              <w:t>在建工程的评估依据、评估方法和评估参数的确定和评估过程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"操作说明!A837" </w:instrText>
            </w:r>
            <w:r>
              <w:fldChar w:fldCharType="separate"/>
            </w:r>
            <w:r>
              <w:rPr>
                <w:rStyle w:val="28"/>
                <w:rFonts w:ascii="Times New Roman" w:hAnsi="Times New Roman" w:eastAsia="仿宋" w:cs="Times New Roman"/>
                <w:color w:val="auto"/>
                <w:sz w:val="22"/>
                <w:u w:val="none"/>
              </w:rPr>
              <w:t>土地的评估依据、评估方法和评估参数的确定和评估过程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ⅷ</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"操作说明!A847" </w:instrText>
            </w:r>
            <w:r>
              <w:fldChar w:fldCharType="separate"/>
            </w:r>
            <w:r>
              <w:rPr>
                <w:rStyle w:val="28"/>
                <w:rFonts w:ascii="Times New Roman" w:hAnsi="Times New Roman" w:eastAsia="仿宋" w:cs="Times New Roman"/>
                <w:color w:val="auto"/>
                <w:sz w:val="22"/>
                <w:u w:val="none"/>
              </w:rPr>
              <w:t>矿业权的评估依据、评估方法和评估参数的确定和评估过程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ⅸ</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"操作说明!A858" </w:instrText>
            </w:r>
            <w:r>
              <w:fldChar w:fldCharType="separate"/>
            </w:r>
            <w:r>
              <w:rPr>
                <w:rStyle w:val="28"/>
                <w:rFonts w:ascii="Times New Roman" w:hAnsi="Times New Roman" w:eastAsia="仿宋" w:cs="Times New Roman"/>
                <w:color w:val="auto"/>
                <w:sz w:val="22"/>
                <w:u w:val="none"/>
              </w:rPr>
              <w:t>其他资产的评估依据、评估方法和评估参数的确定和评估过程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97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"操作说明!A869" </w:instrText>
            </w:r>
            <w:r>
              <w:fldChar w:fldCharType="separate"/>
            </w:r>
            <w:r>
              <w:rPr>
                <w:rStyle w:val="28"/>
                <w:rFonts w:ascii="Times New Roman" w:hAnsi="Times New Roman" w:eastAsia="仿宋" w:cs="Times New Roman"/>
                <w:color w:val="auto"/>
                <w:sz w:val="22"/>
                <w:u w:val="none"/>
              </w:rPr>
              <w:t>对长期股权投资项目进行分析，根据被评估单位对长期股权投资项目的实际控制情况以及对评估对象价值的影响程度等因素，确定是否将其单独评估</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"操作说明!A882" </w:instrText>
            </w:r>
            <w:r>
              <w:fldChar w:fldCharType="separate"/>
            </w:r>
            <w:r>
              <w:rPr>
                <w:rStyle w:val="28"/>
                <w:rFonts w:ascii="Times New Roman" w:hAnsi="Times New Roman" w:eastAsia="仿宋" w:cs="Times New Roman"/>
                <w:color w:val="auto"/>
                <w:sz w:val="22"/>
                <w:u w:val="none"/>
              </w:rPr>
              <w:t>有被评估企业所申报的资产和负债明细表</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"操作说明!A895" </w:instrText>
            </w:r>
            <w:r>
              <w:fldChar w:fldCharType="separate"/>
            </w:r>
            <w:r>
              <w:rPr>
                <w:rStyle w:val="28"/>
                <w:rFonts w:ascii="Times New Roman" w:hAnsi="Times New Roman" w:eastAsia="仿宋" w:cs="Times New Roman"/>
                <w:color w:val="auto"/>
                <w:sz w:val="22"/>
                <w:u w:val="none"/>
              </w:rPr>
              <w:t>有资产评估明细表</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9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"操作说明!A937" </w:instrText>
            </w:r>
            <w:r>
              <w:fldChar w:fldCharType="separate"/>
            </w:r>
            <w:r>
              <w:rPr>
                <w:rStyle w:val="28"/>
                <w:rFonts w:ascii="Times New Roman" w:hAnsi="Times New Roman" w:eastAsia="仿宋" w:cs="Times New Roman"/>
                <w:color w:val="auto"/>
                <w:sz w:val="22"/>
                <w:u w:val="none"/>
              </w:rPr>
              <w:t>采用收益法或者市场法进行企业价值评估，在适当及切实可行的情况下，应当对评估企业的非经营性资产、负债和溢余资产进行单独分析和评估</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105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"操作说明!A948" </w:instrText>
            </w:r>
            <w:r>
              <w:fldChar w:fldCharType="separate"/>
            </w:r>
            <w:r>
              <w:rPr>
                <w:rStyle w:val="28"/>
                <w:rFonts w:ascii="Times New Roman" w:hAnsi="Times New Roman" w:eastAsia="仿宋" w:cs="Times New Roman"/>
                <w:color w:val="auto"/>
                <w:sz w:val="22"/>
                <w:u w:val="none"/>
              </w:rPr>
              <w:t>具有多种业务类型、涉及多种行业的企业进行评估时，能够根据业务关联性合理界定业务单元，并根据业务单元的具体情况，采用了适宜的财务数据口径进行评估</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⑺</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"操作说明!A957" </w:instrText>
            </w:r>
            <w:r>
              <w:fldChar w:fldCharType="separate"/>
            </w:r>
            <w:r>
              <w:rPr>
                <w:rStyle w:val="28"/>
                <w:rFonts w:ascii="Times New Roman" w:hAnsi="Times New Roman" w:eastAsia="仿宋" w:cs="Times New Roman"/>
                <w:color w:val="auto"/>
                <w:sz w:val="22"/>
                <w:u w:val="none"/>
              </w:rPr>
              <w:t>重要的利用专家工作及相关报告情况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⑻</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"操作说明!A978" </w:instrText>
            </w:r>
            <w:r>
              <w:fldChar w:fldCharType="separate"/>
            </w:r>
            <w:r>
              <w:rPr>
                <w:rStyle w:val="28"/>
                <w:rFonts w:ascii="Times New Roman" w:hAnsi="Times New Roman" w:eastAsia="仿宋" w:cs="Times New Roman"/>
                <w:color w:val="auto"/>
                <w:sz w:val="22"/>
                <w:u w:val="none"/>
              </w:rPr>
              <w:t>评定估算过程和结果正确</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"操作说明!A991" </w:instrText>
            </w:r>
            <w:r>
              <w:fldChar w:fldCharType="separate"/>
            </w:r>
            <w:r>
              <w:rPr>
                <w:rStyle w:val="28"/>
                <w:rFonts w:ascii="Times New Roman" w:hAnsi="Times New Roman" w:eastAsia="仿宋" w:cs="Times New Roman"/>
                <w:color w:val="auto"/>
                <w:sz w:val="22"/>
                <w:u w:val="none"/>
              </w:rPr>
              <w:t>评估机构内部复核工作</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b/>
                <w:bCs/>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复核意见记录</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整理归集评估档案</w:t>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b/>
                <w:bCs/>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"操作说明!A1008" </w:instrText>
            </w:r>
            <w:r>
              <w:fldChar w:fldCharType="separate"/>
            </w:r>
            <w:r>
              <w:rPr>
                <w:rStyle w:val="28"/>
                <w:rFonts w:ascii="Times New Roman" w:hAnsi="Times New Roman" w:eastAsia="仿宋" w:cs="Times New Roman"/>
                <w:color w:val="auto"/>
                <w:sz w:val="22"/>
                <w:u w:val="none"/>
              </w:rPr>
              <w:t>各种形式的归档底稿内容是否完整、一致</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"操作说明!A1029" </w:instrText>
            </w:r>
            <w:r>
              <w:fldChar w:fldCharType="separate"/>
            </w:r>
            <w:r>
              <w:rPr>
                <w:rStyle w:val="28"/>
                <w:rFonts w:ascii="Times New Roman" w:hAnsi="Times New Roman" w:eastAsia="仿宋" w:cs="Times New Roman"/>
                <w:color w:val="auto"/>
                <w:sz w:val="22"/>
                <w:u w:val="none"/>
              </w:rPr>
              <w:t>资产评估档案的归集</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"操作说明!A1042" </w:instrText>
            </w:r>
            <w:r>
              <w:fldChar w:fldCharType="separate"/>
            </w:r>
            <w:r>
              <w:rPr>
                <w:rStyle w:val="28"/>
                <w:rFonts w:ascii="Times New Roman" w:hAnsi="Times New Roman" w:eastAsia="仿宋" w:cs="Times New Roman"/>
                <w:color w:val="auto"/>
                <w:sz w:val="22"/>
                <w:u w:val="none"/>
              </w:rPr>
              <w:t>资产评估档案的管理</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5"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评估工作底稿规范性和完整性存在问题项数合计：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0分项数合计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1分项数合计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3分（含3分）以下项平均得分</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2分（含2分）以下项平均得分</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2175"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4484"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仿宋" w:cs="Times New Roman"/>
                <w:b/>
                <w:bCs/>
                <w:sz w:val="22"/>
              </w:rPr>
            </w:pPr>
            <w:r>
              <w:rPr>
                <w:rFonts w:ascii="Times New Roman" w:hAnsi="Times New Roman" w:eastAsia="仿宋" w:cs="Times New Roman"/>
                <w:b/>
                <w:bCs/>
                <w:kern w:val="0"/>
                <w:sz w:val="22"/>
                <w:lang w:bidi="ar"/>
              </w:rPr>
              <w:t>评估工作底稿规范性和完整性检查意见（指出存在的主要问题）：</w:t>
            </w:r>
          </w:p>
        </w:tc>
      </w:tr>
      <w:tr>
        <w:tblPrEx>
          <w:tblCellMar>
            <w:top w:w="0" w:type="dxa"/>
            <w:left w:w="108" w:type="dxa"/>
            <w:bottom w:w="0" w:type="dxa"/>
            <w:right w:w="108" w:type="dxa"/>
          </w:tblCellMar>
        </w:tblPrEx>
        <w:trPr>
          <w:trHeight w:val="349"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二、资产评估报告的规范性和完备性</w:t>
            </w: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9</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"操作说明!A1056" </w:instrText>
            </w:r>
            <w:r>
              <w:fldChar w:fldCharType="separate"/>
            </w:r>
            <w:r>
              <w:rPr>
                <w:rStyle w:val="28"/>
                <w:rFonts w:ascii="Times New Roman" w:hAnsi="Times New Roman" w:eastAsia="仿宋" w:cs="Times New Roman"/>
                <w:color w:val="auto"/>
                <w:sz w:val="22"/>
                <w:u w:val="none"/>
              </w:rPr>
              <w:t>资产评估报告基本内容与格式的规范性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10</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"操作说明!A1073" </w:instrText>
            </w:r>
            <w:r>
              <w:fldChar w:fldCharType="separate"/>
            </w:r>
            <w:r>
              <w:rPr>
                <w:rStyle w:val="28"/>
                <w:rFonts w:ascii="Times New Roman" w:hAnsi="Times New Roman" w:eastAsia="仿宋" w:cs="Times New Roman"/>
                <w:color w:val="auto"/>
                <w:sz w:val="22"/>
                <w:u w:val="none"/>
              </w:rPr>
              <w:t>资产评估报告正文内容的完整性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11</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"操作说明!A1081" </w:instrText>
            </w:r>
            <w:r>
              <w:fldChar w:fldCharType="separate"/>
            </w:r>
            <w:r>
              <w:rPr>
                <w:rStyle w:val="28"/>
                <w:rFonts w:ascii="Times New Roman" w:hAnsi="Times New Roman" w:eastAsia="仿宋" w:cs="Times New Roman"/>
                <w:color w:val="auto"/>
                <w:sz w:val="22"/>
                <w:u w:val="none"/>
              </w:rPr>
              <w:t>委托人、被评估单位和资产评估委托合同约定的其他评估报告使用人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12</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"操作说明!A1091" </w:instrText>
            </w:r>
            <w:r>
              <w:fldChar w:fldCharType="separate"/>
            </w:r>
            <w:r>
              <w:rPr>
                <w:rStyle w:val="28"/>
                <w:rFonts w:ascii="Times New Roman" w:hAnsi="Times New Roman" w:eastAsia="仿宋" w:cs="Times New Roman"/>
                <w:color w:val="auto"/>
                <w:sz w:val="22"/>
                <w:u w:val="none"/>
              </w:rPr>
              <w:t>被评估企业基本情况及财务状况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13</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"操作说明!A1103" </w:instrText>
            </w:r>
            <w:r>
              <w:fldChar w:fldCharType="separate"/>
            </w:r>
            <w:r>
              <w:rPr>
                <w:rStyle w:val="28"/>
                <w:rFonts w:ascii="Times New Roman" w:hAnsi="Times New Roman" w:eastAsia="仿宋" w:cs="Times New Roman"/>
                <w:color w:val="auto"/>
                <w:sz w:val="22"/>
                <w:u w:val="none"/>
              </w:rPr>
              <w:t>评估目的</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14</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"操作说明!A1112" </w:instrText>
            </w:r>
            <w:r>
              <w:fldChar w:fldCharType="separate"/>
            </w:r>
            <w:r>
              <w:rPr>
                <w:rStyle w:val="28"/>
                <w:rFonts w:ascii="Times New Roman" w:hAnsi="Times New Roman" w:eastAsia="仿宋" w:cs="Times New Roman"/>
                <w:color w:val="auto"/>
                <w:sz w:val="22"/>
                <w:u w:val="none"/>
              </w:rPr>
              <w:t>评估对象和评估范围</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15</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"操作说明!A1127" </w:instrText>
            </w:r>
            <w:r>
              <w:fldChar w:fldCharType="separate"/>
            </w:r>
            <w:r>
              <w:rPr>
                <w:rStyle w:val="28"/>
                <w:rFonts w:ascii="Times New Roman" w:hAnsi="Times New Roman" w:eastAsia="仿宋" w:cs="Times New Roman"/>
                <w:color w:val="auto"/>
                <w:sz w:val="22"/>
                <w:u w:val="none"/>
              </w:rPr>
              <w:t>价值类型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16</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"操作说明!A1138" </w:instrText>
            </w:r>
            <w:r>
              <w:fldChar w:fldCharType="separate"/>
            </w:r>
            <w:r>
              <w:rPr>
                <w:rStyle w:val="28"/>
                <w:rFonts w:ascii="Times New Roman" w:hAnsi="Times New Roman" w:eastAsia="仿宋" w:cs="Times New Roman"/>
                <w:color w:val="auto"/>
                <w:sz w:val="22"/>
                <w:u w:val="none"/>
              </w:rPr>
              <w:t>评估基准日</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17</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"操作说明!A1145" </w:instrText>
            </w:r>
            <w:r>
              <w:fldChar w:fldCharType="separate"/>
            </w:r>
            <w:r>
              <w:rPr>
                <w:rStyle w:val="28"/>
                <w:rFonts w:ascii="Times New Roman" w:hAnsi="Times New Roman" w:eastAsia="仿宋" w:cs="Times New Roman"/>
                <w:color w:val="auto"/>
                <w:sz w:val="22"/>
                <w:u w:val="none"/>
              </w:rPr>
              <w:t>评估依据</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18</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评估方法</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683"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"操作说明!A1163" </w:instrText>
            </w:r>
            <w:r>
              <w:fldChar w:fldCharType="separate"/>
            </w:r>
            <w:r>
              <w:rPr>
                <w:rStyle w:val="28"/>
                <w:rFonts w:ascii="Times New Roman" w:hAnsi="Times New Roman" w:eastAsia="仿宋" w:cs="Times New Roman"/>
                <w:color w:val="auto"/>
                <w:sz w:val="22"/>
                <w:u w:val="none"/>
              </w:rPr>
              <w:t>选择评估方法的过程和依据，即对收益法、市场法和成本法（资产基础法）三种基本评估方法适用性的分析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"操作说明!A1176" </w:instrText>
            </w:r>
            <w:r>
              <w:fldChar w:fldCharType="separate"/>
            </w:r>
            <w:r>
              <w:rPr>
                <w:rStyle w:val="28"/>
                <w:rFonts w:ascii="Times New Roman" w:hAnsi="Times New Roman" w:eastAsia="仿宋" w:cs="Times New Roman"/>
                <w:color w:val="auto"/>
                <w:sz w:val="22"/>
                <w:u w:val="none"/>
              </w:rPr>
              <w:t>说明具体评估方法的技术思路和采用的数学模型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"操作说明!A1187" </w:instrText>
            </w:r>
            <w:r>
              <w:fldChar w:fldCharType="separate"/>
            </w:r>
            <w:r>
              <w:rPr>
                <w:rStyle w:val="28"/>
                <w:rFonts w:ascii="Times New Roman" w:hAnsi="Times New Roman" w:eastAsia="仿宋" w:cs="Times New Roman"/>
                <w:color w:val="auto"/>
                <w:sz w:val="22"/>
                <w:u w:val="none"/>
              </w:rPr>
              <w:t>最终评估结论确定的方式（或方法）</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19</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"操作说明!A1198" </w:instrText>
            </w:r>
            <w:r>
              <w:fldChar w:fldCharType="separate"/>
            </w:r>
            <w:r>
              <w:rPr>
                <w:rStyle w:val="28"/>
                <w:rFonts w:ascii="Times New Roman" w:hAnsi="Times New Roman" w:eastAsia="仿宋" w:cs="Times New Roman"/>
                <w:color w:val="auto"/>
                <w:sz w:val="22"/>
                <w:u w:val="none"/>
              </w:rPr>
              <w:t>评估程序实施的过程和情况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20</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"操作说明!A1207" </w:instrText>
            </w:r>
            <w:r>
              <w:fldChar w:fldCharType="separate"/>
            </w:r>
            <w:r>
              <w:rPr>
                <w:rStyle w:val="28"/>
                <w:rFonts w:ascii="Times New Roman" w:hAnsi="Times New Roman" w:eastAsia="仿宋" w:cs="Times New Roman"/>
                <w:color w:val="auto"/>
                <w:sz w:val="22"/>
                <w:u w:val="none"/>
              </w:rPr>
              <w:t>评估假设</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21</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"操作说明!A1217" </w:instrText>
            </w:r>
            <w:r>
              <w:fldChar w:fldCharType="separate"/>
            </w:r>
            <w:r>
              <w:rPr>
                <w:rStyle w:val="28"/>
                <w:rFonts w:ascii="Times New Roman" w:hAnsi="Times New Roman" w:eastAsia="仿宋" w:cs="Times New Roman"/>
                <w:color w:val="auto"/>
                <w:sz w:val="22"/>
                <w:u w:val="none"/>
              </w:rPr>
              <w:t>评估方法的运用过程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采用收益法与市场法评估时，影响企业生产经营的经济因素、行业状况、业务、资产及财务分析</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"操作说明!A1223" </w:instrText>
            </w:r>
            <w:r>
              <w:fldChar w:fldCharType="separate"/>
            </w:r>
            <w:r>
              <w:rPr>
                <w:rStyle w:val="28"/>
                <w:rFonts w:ascii="Times New Roman" w:hAnsi="Times New Roman" w:eastAsia="仿宋" w:cs="Times New Roman"/>
                <w:color w:val="auto"/>
                <w:sz w:val="22"/>
                <w:u w:val="none"/>
              </w:rPr>
              <w:t>影响企业经营的宏观、区域经济因素分析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 </w:instrText>
            </w:r>
            <w:r>
              <w:fldChar w:fldCharType="separate"/>
            </w:r>
            <w:r>
              <w:rPr>
                <w:rStyle w:val="28"/>
                <w:rFonts w:ascii="Times New Roman" w:hAnsi="Times New Roman" w:eastAsia="仿宋" w:cs="Times New Roman"/>
                <w:color w:val="auto"/>
                <w:sz w:val="22"/>
                <w:u w:val="none"/>
              </w:rPr>
              <w:t>所在行业现状与发展前景分析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"操作说明!A1259" </w:instrText>
            </w:r>
            <w:r>
              <w:fldChar w:fldCharType="separate"/>
            </w:r>
            <w:r>
              <w:rPr>
                <w:rStyle w:val="28"/>
                <w:rFonts w:ascii="Times New Roman" w:hAnsi="Times New Roman" w:eastAsia="仿宋" w:cs="Times New Roman"/>
                <w:color w:val="auto"/>
                <w:sz w:val="22"/>
                <w:u w:val="none"/>
              </w:rPr>
              <w:t>企业的业务情况分析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"操作说明!A1286" </w:instrText>
            </w:r>
            <w:r>
              <w:fldChar w:fldCharType="separate"/>
            </w:r>
            <w:r>
              <w:rPr>
                <w:rStyle w:val="28"/>
                <w:rFonts w:ascii="Times New Roman" w:hAnsi="Times New Roman" w:eastAsia="仿宋" w:cs="Times New Roman"/>
                <w:color w:val="auto"/>
                <w:sz w:val="22"/>
                <w:u w:val="none"/>
              </w:rPr>
              <w:t>企业的资产、财务分析和调整情况分析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评估方法运用实施过程</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"操作说明!A1303" </w:instrText>
            </w:r>
            <w:r>
              <w:fldChar w:fldCharType="separate"/>
            </w:r>
            <w:r>
              <w:rPr>
                <w:rStyle w:val="28"/>
                <w:rFonts w:ascii="Times New Roman" w:hAnsi="Times New Roman" w:eastAsia="仿宋" w:cs="Times New Roman"/>
                <w:color w:val="auto"/>
                <w:sz w:val="22"/>
                <w:u w:val="none"/>
              </w:rPr>
              <w:t>评估方法的运用和逻辑推理计算过程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主要参数的来源、分析、比较和测算过程</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"操作说明!A1315" </w:instrText>
            </w:r>
            <w:r>
              <w:fldChar w:fldCharType="separate"/>
            </w:r>
            <w:r>
              <w:rPr>
                <w:rStyle w:val="28"/>
                <w:rFonts w:ascii="Times New Roman" w:hAnsi="Times New Roman" w:eastAsia="仿宋" w:cs="Times New Roman"/>
                <w:color w:val="auto"/>
                <w:sz w:val="22"/>
                <w:u w:val="none"/>
              </w:rPr>
              <w:t>采用资产基础法评估</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63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"操作说明!A1322" </w:instrText>
            </w:r>
            <w:r>
              <w:fldChar w:fldCharType="separate"/>
            </w:r>
            <w:r>
              <w:rPr>
                <w:rStyle w:val="28"/>
                <w:rFonts w:ascii="Times New Roman" w:hAnsi="Times New Roman" w:eastAsia="仿宋" w:cs="Times New Roman"/>
                <w:color w:val="auto"/>
                <w:sz w:val="22"/>
                <w:u w:val="none"/>
              </w:rPr>
              <w:t>流动资产（非实物部分），负债的清查核实方法、过程结论；                                                                                   评估具体方法、过程、结论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"操作说明!A1330" </w:instrText>
            </w:r>
            <w:r>
              <w:fldChar w:fldCharType="separate"/>
            </w:r>
            <w:r>
              <w:rPr>
                <w:rStyle w:val="28"/>
                <w:rFonts w:ascii="Times New Roman" w:hAnsi="Times New Roman" w:eastAsia="仿宋" w:cs="Times New Roman"/>
                <w:color w:val="auto"/>
                <w:sz w:val="22"/>
                <w:u w:val="none"/>
              </w:rPr>
              <w:t>存货的清查方法、过程和结论；                                               评估方法、参数的确定和评估结论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10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"操作说明!A1339" </w:instrText>
            </w:r>
            <w:r>
              <w:fldChar w:fldCharType="separate"/>
            </w:r>
            <w:r>
              <w:rPr>
                <w:rStyle w:val="28"/>
                <w:rFonts w:ascii="Times New Roman" w:hAnsi="Times New Roman" w:eastAsia="仿宋" w:cs="Times New Roman"/>
                <w:color w:val="auto"/>
                <w:sz w:val="22"/>
                <w:u w:val="none"/>
              </w:rPr>
              <w:t>长期股权投资的清查核实方法和结论；                                                                                                                       具体的评估方法（根据具体资产、盈利状况及其对评估对象价值的影响程度等因素，合理确定是否进行单独评估）</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7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"操作说明!A1348" </w:instrText>
            </w:r>
            <w:r>
              <w:fldChar w:fldCharType="separate"/>
            </w:r>
            <w:r>
              <w:rPr>
                <w:rStyle w:val="28"/>
                <w:rFonts w:ascii="Times New Roman" w:hAnsi="Times New Roman" w:eastAsia="仿宋" w:cs="Times New Roman"/>
                <w:color w:val="auto"/>
                <w:sz w:val="22"/>
                <w:u w:val="none"/>
              </w:rPr>
              <w:t>投资性房地产的清查核实方法、过程、结论；                                   具体评估方法和评估参数的确定以及评估结论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85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"操作说明!A1357" </w:instrText>
            </w:r>
            <w:r>
              <w:fldChar w:fldCharType="separate"/>
            </w:r>
            <w:r>
              <w:rPr>
                <w:rStyle w:val="28"/>
                <w:rFonts w:ascii="Times New Roman" w:hAnsi="Times New Roman" w:eastAsia="仿宋" w:cs="Times New Roman"/>
                <w:color w:val="auto"/>
                <w:sz w:val="22"/>
                <w:u w:val="none"/>
              </w:rPr>
              <w:t>固定资产的清查核实方法、过程、结论；                                         具体评估方法、评估参数确定以及评估结论；                                    评估举例参数确定的合理性</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9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"操作说明!A1367" </w:instrText>
            </w:r>
            <w:r>
              <w:fldChar w:fldCharType="separate"/>
            </w:r>
            <w:r>
              <w:rPr>
                <w:rStyle w:val="28"/>
                <w:rFonts w:ascii="Times New Roman" w:hAnsi="Times New Roman" w:eastAsia="仿宋" w:cs="Times New Roman"/>
                <w:color w:val="auto"/>
                <w:sz w:val="22"/>
                <w:u w:val="none"/>
              </w:rPr>
              <w:t>在建工程的清查核实方法；在建工程情况的说明；具体评估方法</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土地使用评估说明</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a</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"操作说明!A1377" </w:instrText>
            </w:r>
            <w:r>
              <w:fldChar w:fldCharType="separate"/>
            </w:r>
            <w:r>
              <w:rPr>
                <w:rStyle w:val="28"/>
                <w:rFonts w:ascii="Times New Roman" w:hAnsi="Times New Roman" w:eastAsia="仿宋" w:cs="Times New Roman"/>
                <w:color w:val="auto"/>
                <w:sz w:val="22"/>
                <w:u w:val="none"/>
              </w:rPr>
              <w:t>自行评估情形下的评估说明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b</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"操作说明!A1386" </w:instrText>
            </w:r>
            <w:r>
              <w:fldChar w:fldCharType="separate"/>
            </w:r>
            <w:r>
              <w:rPr>
                <w:rStyle w:val="28"/>
                <w:rFonts w:ascii="Times New Roman" w:hAnsi="Times New Roman" w:eastAsia="仿宋" w:cs="Times New Roman"/>
                <w:color w:val="auto"/>
                <w:sz w:val="22"/>
                <w:u w:val="none"/>
              </w:rPr>
              <w:t>引用结论情形下的评估说明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ⅷ</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矿业权评估说明</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a</w:t>
            </w:r>
          </w:p>
        </w:tc>
        <w:tc>
          <w:tcPr>
            <w:tcW w:w="3510" w:type="pct"/>
            <w:tcBorders>
              <w:top w:val="single" w:color="000000" w:sz="4" w:space="0"/>
              <w:left w:val="nil"/>
              <w:bottom w:val="single" w:color="000000" w:sz="4" w:space="0"/>
              <w:right w:val="nil"/>
            </w:tcBorders>
            <w:shd w:val="clear" w:color="auto" w:fill="auto"/>
            <w:noWrap/>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"操作说明!A1399" </w:instrText>
            </w:r>
            <w:r>
              <w:fldChar w:fldCharType="separate"/>
            </w:r>
            <w:r>
              <w:rPr>
                <w:rStyle w:val="28"/>
                <w:rFonts w:ascii="Times New Roman" w:hAnsi="Times New Roman" w:eastAsia="仿宋" w:cs="Times New Roman"/>
                <w:color w:val="auto"/>
                <w:sz w:val="22"/>
                <w:u w:val="none"/>
              </w:rPr>
              <w:t>自行评估情形下的评估说明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b</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"操作说明!A1408" </w:instrText>
            </w:r>
            <w:r>
              <w:fldChar w:fldCharType="separate"/>
            </w:r>
            <w:r>
              <w:rPr>
                <w:rStyle w:val="28"/>
                <w:rFonts w:ascii="Times New Roman" w:hAnsi="Times New Roman" w:eastAsia="仿宋" w:cs="Times New Roman"/>
                <w:color w:val="auto"/>
                <w:sz w:val="22"/>
                <w:u w:val="none"/>
              </w:rPr>
              <w:t>引用结论情形下的评估说明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ⅸ</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"操作说明!A1419" </w:instrText>
            </w:r>
            <w:r>
              <w:fldChar w:fldCharType="separate"/>
            </w:r>
            <w:r>
              <w:rPr>
                <w:rStyle w:val="28"/>
                <w:rFonts w:ascii="Times New Roman" w:hAnsi="Times New Roman" w:eastAsia="仿宋" w:cs="Times New Roman"/>
                <w:color w:val="auto"/>
                <w:sz w:val="22"/>
                <w:u w:val="none"/>
              </w:rPr>
              <w:t>其他资产和负债的评估说明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采用收益法评估</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"操作说明!A1428" </w:instrText>
            </w:r>
            <w:r>
              <w:fldChar w:fldCharType="separate"/>
            </w:r>
            <w:r>
              <w:rPr>
                <w:rStyle w:val="28"/>
                <w:rFonts w:ascii="Times New Roman" w:hAnsi="Times New Roman" w:eastAsia="仿宋" w:cs="Times New Roman"/>
                <w:color w:val="auto"/>
                <w:sz w:val="22"/>
                <w:u w:val="none"/>
              </w:rPr>
              <w:t>收益模型的选取</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"操作说明!A1440" </w:instrText>
            </w:r>
            <w:r>
              <w:fldChar w:fldCharType="separate"/>
            </w:r>
            <w:r>
              <w:rPr>
                <w:rStyle w:val="28"/>
                <w:rFonts w:ascii="Times New Roman" w:hAnsi="Times New Roman" w:eastAsia="仿宋" w:cs="Times New Roman"/>
                <w:color w:val="auto"/>
                <w:sz w:val="22"/>
                <w:u w:val="none"/>
              </w:rPr>
              <w:t>收益年限的确定</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70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"操作说明!A1450" </w:instrText>
            </w:r>
            <w:r>
              <w:fldChar w:fldCharType="separate"/>
            </w:r>
            <w:r>
              <w:rPr>
                <w:rStyle w:val="28"/>
                <w:rFonts w:ascii="Times New Roman" w:hAnsi="Times New Roman" w:eastAsia="仿宋" w:cs="Times New Roman"/>
                <w:color w:val="auto"/>
                <w:sz w:val="22"/>
                <w:u w:val="none"/>
              </w:rPr>
              <w:t>未来收益的确定（营业收入、成本费用；投资收益；资本性支出；营运资金预测、营运资金增加额的确定）</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"操作说明!A1463" </w:instrText>
            </w:r>
            <w:r>
              <w:fldChar w:fldCharType="separate"/>
            </w:r>
            <w:r>
              <w:rPr>
                <w:rStyle w:val="28"/>
                <w:rFonts w:ascii="Times New Roman" w:hAnsi="Times New Roman" w:eastAsia="仿宋" w:cs="Times New Roman"/>
                <w:color w:val="auto"/>
                <w:sz w:val="22"/>
                <w:u w:val="none"/>
              </w:rPr>
              <w:t>折现率确定</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"操作说明!A1474" </w:instrText>
            </w:r>
            <w:r>
              <w:fldChar w:fldCharType="separate"/>
            </w:r>
            <w:r>
              <w:rPr>
                <w:rStyle w:val="28"/>
                <w:rFonts w:ascii="Times New Roman" w:hAnsi="Times New Roman" w:eastAsia="仿宋" w:cs="Times New Roman"/>
                <w:color w:val="auto"/>
                <w:sz w:val="22"/>
                <w:u w:val="none"/>
              </w:rPr>
              <w:t>列表说明公式中的各参数值以及测算过程，列示评估结论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"操作说明!A1485" </w:instrText>
            </w:r>
            <w:r>
              <w:fldChar w:fldCharType="separate"/>
            </w:r>
            <w:r>
              <w:rPr>
                <w:rStyle w:val="28"/>
                <w:rFonts w:ascii="Times New Roman" w:hAnsi="Times New Roman" w:eastAsia="仿宋" w:cs="Times New Roman"/>
                <w:color w:val="auto"/>
                <w:sz w:val="22"/>
                <w:u w:val="none"/>
              </w:rPr>
              <w:t>终值的估算</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"操作说明!A1494" </w:instrText>
            </w:r>
            <w:r>
              <w:fldChar w:fldCharType="separate"/>
            </w:r>
            <w:r>
              <w:rPr>
                <w:rStyle w:val="28"/>
                <w:rFonts w:ascii="Times New Roman" w:hAnsi="Times New Roman" w:eastAsia="仿宋" w:cs="Times New Roman"/>
                <w:color w:val="auto"/>
                <w:sz w:val="22"/>
                <w:u w:val="none"/>
              </w:rPr>
              <w:t>其他资产和负债的评估（非收益性/经营性资产和负债）价值</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ⅷ</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"操作说明!A1503" </w:instrText>
            </w:r>
            <w:r>
              <w:fldChar w:fldCharType="separate"/>
            </w:r>
            <w:r>
              <w:rPr>
                <w:rStyle w:val="28"/>
                <w:rFonts w:ascii="Times New Roman" w:hAnsi="Times New Roman" w:eastAsia="仿宋" w:cs="Times New Roman"/>
                <w:color w:val="auto"/>
                <w:sz w:val="22"/>
                <w:u w:val="none"/>
              </w:rPr>
              <w:t>收益法测算表格（是否齐全）</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"操作说明!A1512" </w:instrText>
            </w:r>
            <w:r>
              <w:fldChar w:fldCharType="separate"/>
            </w:r>
            <w:r>
              <w:rPr>
                <w:rStyle w:val="28"/>
                <w:rFonts w:ascii="Times New Roman" w:hAnsi="Times New Roman" w:eastAsia="仿宋" w:cs="Times New Roman"/>
                <w:color w:val="auto"/>
                <w:sz w:val="22"/>
                <w:u w:val="none"/>
              </w:rPr>
              <w:t>采用市场法评估</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"操作说明!A1521" </w:instrText>
            </w:r>
            <w:r>
              <w:fldChar w:fldCharType="separate"/>
            </w:r>
            <w:r>
              <w:rPr>
                <w:rStyle w:val="28"/>
                <w:rFonts w:ascii="Times New Roman" w:hAnsi="Times New Roman" w:eastAsia="仿宋" w:cs="Times New Roman"/>
                <w:color w:val="auto"/>
                <w:sz w:val="22"/>
                <w:u w:val="none"/>
              </w:rPr>
              <w:t>基本步骤说明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"操作说明!A1536" </w:instrText>
            </w:r>
            <w:r>
              <w:fldChar w:fldCharType="separate"/>
            </w:r>
            <w:r>
              <w:rPr>
                <w:rStyle w:val="28"/>
                <w:rFonts w:ascii="Times New Roman" w:hAnsi="Times New Roman" w:eastAsia="仿宋" w:cs="Times New Roman"/>
                <w:color w:val="auto"/>
                <w:sz w:val="22"/>
                <w:u w:val="none"/>
              </w:rPr>
              <w:t>上市公司和交易案例的选择及与评估对象的可比性分析。</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96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"操作说明!A1546" </w:instrText>
            </w:r>
            <w:r>
              <w:fldChar w:fldCharType="separate"/>
            </w:r>
            <w:r>
              <w:rPr>
                <w:rStyle w:val="28"/>
                <w:rFonts w:ascii="Times New Roman" w:hAnsi="Times New Roman" w:eastAsia="仿宋" w:cs="Times New Roman"/>
                <w:color w:val="auto"/>
                <w:sz w:val="22"/>
                <w:u w:val="none"/>
              </w:rPr>
              <w:t>确定可比因素的方法和过程（特别说明对可比因素分析时考虑的主要方面），价值比率的确定过程，分析、调整评估对象财务状况的内容。</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"操作说明!A1562" </w:instrText>
            </w:r>
            <w:r>
              <w:fldChar w:fldCharType="separate"/>
            </w:r>
            <w:r>
              <w:rPr>
                <w:rStyle w:val="28"/>
                <w:rFonts w:ascii="Times New Roman" w:hAnsi="Times New Roman" w:eastAsia="仿宋" w:cs="Times New Roman"/>
                <w:color w:val="auto"/>
                <w:sz w:val="22"/>
                <w:u w:val="none"/>
              </w:rPr>
              <w:t>列表说明公式中的各参数值以及测算过程，列示评估结论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"操作说明!A1578" </w:instrText>
            </w:r>
            <w:r>
              <w:fldChar w:fldCharType="separate"/>
            </w:r>
            <w:r>
              <w:rPr>
                <w:rStyle w:val="28"/>
                <w:rFonts w:ascii="Times New Roman" w:hAnsi="Times New Roman" w:eastAsia="仿宋" w:cs="Times New Roman"/>
                <w:color w:val="auto"/>
                <w:sz w:val="22"/>
                <w:u w:val="none"/>
              </w:rPr>
              <w:t>关于具有控制权和缺乏控制权等因素产生的溢价或折价的考虑情况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"操作说明!A1597" </w:instrText>
            </w:r>
            <w:r>
              <w:fldChar w:fldCharType="separate"/>
            </w:r>
            <w:r>
              <w:rPr>
                <w:rStyle w:val="28"/>
                <w:rFonts w:ascii="Times New Roman" w:hAnsi="Times New Roman" w:eastAsia="仿宋" w:cs="Times New Roman"/>
                <w:color w:val="auto"/>
                <w:sz w:val="22"/>
                <w:u w:val="none"/>
              </w:rPr>
              <w:t>关于流动性对评估价值影响的考虑情况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"操作说明!A1616" </w:instrText>
            </w:r>
            <w:r>
              <w:fldChar w:fldCharType="separate"/>
            </w:r>
            <w:r>
              <w:rPr>
                <w:rStyle w:val="28"/>
                <w:rFonts w:ascii="Times New Roman" w:hAnsi="Times New Roman" w:eastAsia="仿宋" w:cs="Times New Roman"/>
                <w:color w:val="auto"/>
                <w:sz w:val="22"/>
                <w:u w:val="none"/>
              </w:rPr>
              <w:t>其他资产和负债的评估（非收益性/经营性资产和负债）价值</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ⅷ</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"操作说明!A1625" </w:instrText>
            </w:r>
            <w:r>
              <w:fldChar w:fldCharType="separate"/>
            </w:r>
            <w:r>
              <w:rPr>
                <w:rStyle w:val="28"/>
                <w:rFonts w:ascii="Times New Roman" w:hAnsi="Times New Roman" w:eastAsia="仿宋" w:cs="Times New Roman"/>
                <w:color w:val="auto"/>
                <w:sz w:val="22"/>
                <w:u w:val="none"/>
              </w:rPr>
              <w:t>终值的估算</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ⅸ</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"操作说明!A1639" </w:instrText>
            </w:r>
            <w:r>
              <w:fldChar w:fldCharType="separate"/>
            </w:r>
            <w:r>
              <w:rPr>
                <w:rStyle w:val="28"/>
                <w:rFonts w:ascii="Times New Roman" w:hAnsi="Times New Roman" w:eastAsia="仿宋" w:cs="Times New Roman"/>
                <w:color w:val="auto"/>
                <w:sz w:val="22"/>
                <w:u w:val="none"/>
              </w:rPr>
              <w:t>市场法测算表格（是否齐全）</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"操作说明!A1653" </w:instrText>
            </w:r>
            <w:r>
              <w:fldChar w:fldCharType="separate"/>
            </w:r>
            <w:r>
              <w:rPr>
                <w:rStyle w:val="28"/>
                <w:rFonts w:ascii="Times New Roman" w:hAnsi="Times New Roman" w:eastAsia="仿宋" w:cs="Times New Roman"/>
                <w:color w:val="auto"/>
                <w:sz w:val="22"/>
                <w:u w:val="none"/>
              </w:rPr>
              <w:t>对初步评估结论（含两种评估方法结论）进行综合分析，形成最终评估结论的过程</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22</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评估结论</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"操作说明!A1664" </w:instrText>
            </w:r>
            <w:r>
              <w:fldChar w:fldCharType="separate"/>
            </w:r>
            <w:r>
              <w:rPr>
                <w:rStyle w:val="28"/>
                <w:rFonts w:ascii="Times New Roman" w:hAnsi="Times New Roman" w:eastAsia="仿宋" w:cs="Times New Roman"/>
                <w:color w:val="auto"/>
                <w:sz w:val="22"/>
                <w:u w:val="none"/>
              </w:rPr>
              <w:t>评估结论计算正确</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"操作说明!A1677" </w:instrText>
            </w:r>
            <w:r>
              <w:fldChar w:fldCharType="separate"/>
            </w:r>
            <w:r>
              <w:rPr>
                <w:rStyle w:val="28"/>
                <w:rFonts w:ascii="Times New Roman" w:hAnsi="Times New Roman" w:eastAsia="仿宋" w:cs="Times New Roman"/>
                <w:color w:val="auto"/>
                <w:sz w:val="22"/>
                <w:u w:val="none"/>
              </w:rPr>
              <w:t>以文字和数字形式清晰说明评估结论</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70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"操作说明!A1690" </w:instrText>
            </w:r>
            <w:r>
              <w:fldChar w:fldCharType="separate"/>
            </w:r>
            <w:r>
              <w:rPr>
                <w:rStyle w:val="28"/>
                <w:rFonts w:ascii="Times New Roman" w:hAnsi="Times New Roman" w:eastAsia="仿宋" w:cs="Times New Roman"/>
                <w:color w:val="auto"/>
                <w:sz w:val="22"/>
                <w:u w:val="none"/>
              </w:rPr>
              <w:t>采用两种以上方法，说明两种以上评估方法结果的差异及其原因和最终确定评估结论的理由</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23</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特别事项说明</w:t>
            </w:r>
          </w:p>
        </w:tc>
        <w:tc>
          <w:tcPr>
            <w:tcW w:w="61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"操作说明!A1703" </w:instrText>
            </w:r>
            <w:r>
              <w:fldChar w:fldCharType="separate"/>
            </w:r>
            <w:r>
              <w:rPr>
                <w:rStyle w:val="28"/>
                <w:rFonts w:ascii="Times New Roman" w:hAnsi="Times New Roman" w:eastAsia="仿宋" w:cs="Times New Roman"/>
                <w:color w:val="auto"/>
                <w:sz w:val="22"/>
                <w:u w:val="none"/>
              </w:rPr>
              <w:t>重要的利用专家工作及相关报告情况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"操作说明!A1730" </w:instrText>
            </w:r>
            <w:r>
              <w:fldChar w:fldCharType="separate"/>
            </w:r>
            <w:r>
              <w:rPr>
                <w:rStyle w:val="28"/>
                <w:rFonts w:ascii="Times New Roman" w:hAnsi="Times New Roman" w:eastAsia="仿宋" w:cs="Times New Roman"/>
                <w:color w:val="auto"/>
                <w:sz w:val="22"/>
                <w:u w:val="none"/>
              </w:rPr>
              <w:t>权属资料不全面或者存在瑕疵的情形</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9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"操作说明!A1740" </w:instrText>
            </w:r>
            <w:r>
              <w:fldChar w:fldCharType="separate"/>
            </w:r>
            <w:r>
              <w:rPr>
                <w:rStyle w:val="28"/>
                <w:rFonts w:ascii="Times New Roman" w:hAnsi="Times New Roman" w:eastAsia="仿宋" w:cs="Times New Roman"/>
                <w:color w:val="auto"/>
                <w:sz w:val="22"/>
                <w:u w:val="none"/>
              </w:rPr>
              <w:t>评估程序受限的有关情况、评估机构采取的弥补措施及对评估结论影响的情况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"操作说明!A1751" </w:instrText>
            </w:r>
            <w:r>
              <w:fldChar w:fldCharType="separate"/>
            </w:r>
            <w:r>
              <w:rPr>
                <w:rStyle w:val="28"/>
                <w:rFonts w:ascii="Times New Roman" w:hAnsi="Times New Roman" w:eastAsia="仿宋" w:cs="Times New Roman"/>
                <w:color w:val="auto"/>
                <w:sz w:val="22"/>
                <w:u w:val="none"/>
              </w:rPr>
              <w:t>委托人未提供的其他关键资料情况</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"操作说明!A1761" </w:instrText>
            </w:r>
            <w:r>
              <w:fldChar w:fldCharType="separate"/>
            </w:r>
            <w:r>
              <w:rPr>
                <w:rStyle w:val="28"/>
                <w:rFonts w:ascii="Times New Roman" w:hAnsi="Times New Roman" w:eastAsia="仿宋" w:cs="Times New Roman"/>
                <w:color w:val="auto"/>
                <w:sz w:val="22"/>
                <w:u w:val="none"/>
              </w:rPr>
              <w:t>评估基准日存在的法律、经济等未决事项</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9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"操作说明!A1771" </w:instrText>
            </w:r>
            <w:r>
              <w:fldChar w:fldCharType="separate"/>
            </w:r>
            <w:r>
              <w:rPr>
                <w:rStyle w:val="28"/>
                <w:rFonts w:ascii="Times New Roman" w:hAnsi="Times New Roman" w:eastAsia="仿宋" w:cs="Times New Roman"/>
                <w:color w:val="auto"/>
                <w:sz w:val="22"/>
                <w:u w:val="none"/>
              </w:rPr>
              <w:t>评估基准日至资产评估报告日之间可能对评估结论产生影响的事项</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9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p>
        </w:tc>
        <w:tc>
          <w:tcPr>
            <w:tcW w:w="3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"操作说明!A1781" </w:instrText>
            </w:r>
            <w:r>
              <w:fldChar w:fldCharType="separate"/>
            </w:r>
            <w:r>
              <w:rPr>
                <w:rStyle w:val="28"/>
                <w:rFonts w:ascii="Times New Roman" w:hAnsi="Times New Roman" w:eastAsia="仿宋" w:cs="Times New Roman"/>
                <w:color w:val="auto"/>
                <w:sz w:val="22"/>
                <w:u w:val="none"/>
              </w:rPr>
              <w:t>担保、租赁及其或有负债（或有资产）等事项的性质、金额及与评估对象的关系</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98"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"操作说明!A1791" </w:instrText>
            </w:r>
            <w:r>
              <w:fldChar w:fldCharType="separate"/>
            </w:r>
            <w:r>
              <w:rPr>
                <w:rStyle w:val="28"/>
                <w:rFonts w:ascii="Times New Roman" w:hAnsi="Times New Roman" w:eastAsia="仿宋" w:cs="Times New Roman"/>
                <w:color w:val="auto"/>
                <w:sz w:val="22"/>
                <w:u w:val="none"/>
              </w:rPr>
              <w:t>本次资产评估对应的经济行为中，可能对评估结论产生重大影响的瑕疵情形</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24</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"操作说明!A1801" </w:instrText>
            </w:r>
            <w:r>
              <w:fldChar w:fldCharType="separate"/>
            </w:r>
            <w:r>
              <w:rPr>
                <w:rStyle w:val="28"/>
                <w:rFonts w:ascii="Times New Roman" w:hAnsi="Times New Roman" w:eastAsia="仿宋" w:cs="Times New Roman"/>
                <w:color w:val="auto"/>
                <w:sz w:val="22"/>
                <w:u w:val="none"/>
              </w:rPr>
              <w:t>资产评估报告使用限制说明</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25</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"操作说明!A1810" </w:instrText>
            </w:r>
            <w:r>
              <w:fldChar w:fldCharType="separate"/>
            </w:r>
            <w:r>
              <w:rPr>
                <w:rStyle w:val="28"/>
                <w:rFonts w:ascii="Times New Roman" w:hAnsi="Times New Roman" w:eastAsia="仿宋" w:cs="Times New Roman"/>
                <w:color w:val="auto"/>
                <w:sz w:val="22"/>
                <w:u w:val="none"/>
              </w:rPr>
              <w:t>资产评估报告日</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26</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"操作说明!A1817" </w:instrText>
            </w:r>
            <w:r>
              <w:fldChar w:fldCharType="separate"/>
            </w:r>
            <w:r>
              <w:rPr>
                <w:rStyle w:val="28"/>
                <w:rFonts w:ascii="Times New Roman" w:hAnsi="Times New Roman" w:eastAsia="仿宋" w:cs="Times New Roman"/>
                <w:color w:val="auto"/>
                <w:sz w:val="22"/>
                <w:u w:val="none"/>
              </w:rPr>
              <w:t>签字盖章</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50"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27</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"操作说明!A1825" </w:instrText>
            </w:r>
            <w:r>
              <w:fldChar w:fldCharType="separate"/>
            </w:r>
            <w:r>
              <w:rPr>
                <w:rStyle w:val="28"/>
                <w:rFonts w:ascii="Times New Roman" w:hAnsi="Times New Roman" w:eastAsia="仿宋" w:cs="Times New Roman"/>
                <w:color w:val="auto"/>
                <w:sz w:val="22"/>
                <w:u w:val="none"/>
              </w:rPr>
              <w:t>资产评估报告附件</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600" w:hRule="atLeast"/>
        </w:trPr>
        <w:tc>
          <w:tcPr>
            <w:tcW w:w="516"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28</w:t>
            </w:r>
            <w:r>
              <w:rPr>
                <w:rFonts w:ascii="Segoe UI Symbol" w:hAnsi="Segoe UI Symbol" w:eastAsia="仿宋" w:cs="Segoe UI Symbol"/>
                <w:kern w:val="0"/>
                <w:sz w:val="22"/>
                <w:lang w:bidi="ar"/>
              </w:rPr>
              <w:t>★</w:t>
            </w:r>
          </w:p>
        </w:tc>
        <w:tc>
          <w:tcPr>
            <w:tcW w:w="35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"操作说明!A1832" </w:instrText>
            </w:r>
            <w:r>
              <w:fldChar w:fldCharType="separate"/>
            </w:r>
            <w:r>
              <w:rPr>
                <w:rStyle w:val="28"/>
                <w:rFonts w:ascii="Times New Roman" w:hAnsi="Times New Roman" w:eastAsia="仿宋" w:cs="Times New Roman"/>
                <w:color w:val="auto"/>
                <w:sz w:val="22"/>
                <w:u w:val="none"/>
              </w:rPr>
              <w:t>评估明细表（根据具体情况确定）</w:t>
            </w:r>
            <w:r>
              <w:rPr>
                <w:rStyle w:val="28"/>
                <w:rFonts w:ascii="Times New Roman" w:hAnsi="Times New Roman" w:eastAsia="仿宋" w:cs="Times New Roman"/>
                <w:color w:val="auto"/>
                <w:sz w:val="22"/>
                <w:u w:val="none"/>
              </w:rPr>
              <w:fldChar w:fldCharType="end"/>
            </w:r>
          </w:p>
        </w:tc>
        <w:tc>
          <w:tcPr>
            <w:tcW w:w="6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规范、系统、齐全</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1215"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表中内容含有资产负债的名称（明细）、经营业务或者事项内容、技术参数、发生（购、建、创）日期、账面价值、评估价值、评估增减幅度等基本内容。必要时，在备注栏对技术参数或者经营业务、事项情况进行注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Times New Roman" w:hAnsi="Times New Roman" w:eastAsia="仿宋" w:cs="Times New Roman"/>
                <w:sz w:val="22"/>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5"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评估报告内容规范性和完整性存在问题项数合计：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0分项数合计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1分项数合计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3分（含3分）以下项平均得分</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2分（含2分）以下项平均得分</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200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4484"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仿宋" w:cs="Times New Roman"/>
                <w:b/>
                <w:bCs/>
                <w:sz w:val="22"/>
              </w:rPr>
            </w:pPr>
            <w:r>
              <w:rPr>
                <w:rFonts w:ascii="Times New Roman" w:hAnsi="Times New Roman" w:eastAsia="仿宋" w:cs="Times New Roman"/>
                <w:b/>
                <w:bCs/>
                <w:kern w:val="0"/>
                <w:sz w:val="22"/>
                <w:lang w:bidi="ar"/>
              </w:rPr>
              <w:t>评估报告内容规范性和完整性检查意见（指出存在的主要问题）：</w:t>
            </w:r>
          </w:p>
        </w:tc>
      </w:tr>
      <w:tr>
        <w:tblPrEx>
          <w:tblCellMar>
            <w:top w:w="0" w:type="dxa"/>
            <w:left w:w="108" w:type="dxa"/>
            <w:bottom w:w="0" w:type="dxa"/>
            <w:right w:w="108" w:type="dxa"/>
          </w:tblCellMar>
        </w:tblPrEx>
        <w:trPr>
          <w:trHeight w:val="349"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三、评估业务整体评分结果</w:t>
            </w: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Style w:val="37"/>
                <w:rFonts w:hint="default" w:ascii="Times New Roman" w:hAnsi="Times New Roman" w:cs="Times New Roman"/>
                <w:color w:val="auto"/>
                <w:lang w:bidi="ar"/>
              </w:rPr>
              <w:t>评估业务整体存在问题项数合计：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0分项数合计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1分项数合计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3分项数合计</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3分（含3分）以下项平均得分</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2分（含2分）以下项平均得分</w:t>
            </w:r>
          </w:p>
        </w:tc>
        <w:tc>
          <w:tcPr>
            <w:tcW w:w="974"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349" w:hRule="atLeast"/>
        </w:trPr>
        <w:tc>
          <w:tcPr>
            <w:tcW w:w="5000" w:type="pct"/>
            <w:gridSpan w:val="4"/>
            <w:tcBorders>
              <w:top w:val="nil"/>
              <w:left w:val="nil"/>
              <w:bottom w:val="nil"/>
              <w:right w:val="nil"/>
            </w:tcBorders>
            <w:shd w:val="clear" w:color="auto" w:fill="auto"/>
            <w:noWrap/>
            <w:vAlign w:val="center"/>
          </w:tcPr>
          <w:p>
            <w:pPr>
              <w:widowControl/>
              <w:jc w:val="left"/>
              <w:textAlignment w:val="center"/>
              <w:rPr>
                <w:rFonts w:ascii="Times New Roman" w:hAnsi="Times New Roman" w:eastAsia="仿宋" w:cs="Times New Roman"/>
                <w:sz w:val="24"/>
                <w:szCs w:val="24"/>
              </w:rPr>
            </w:pP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 xml:space="preserve">人员：       </w:t>
            </w: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时间：           复核人员：      复核时间：</w:t>
            </w:r>
          </w:p>
        </w:tc>
      </w:tr>
    </w:tbl>
    <w:p>
      <w:pPr>
        <w:rPr>
          <w:rFonts w:ascii="Times New Roman" w:hAnsi="Times New Roman" w:eastAsia="仿宋" w:cs="Times New Roman"/>
          <w:sz w:val="24"/>
        </w:rPr>
      </w:pPr>
    </w:p>
    <w:p>
      <w:pPr>
        <w:rPr>
          <w:rFonts w:ascii="Times New Roman" w:hAnsi="Times New Roman" w:eastAsia="仿宋" w:cs="Times New Roman"/>
        </w:rPr>
      </w:pPr>
      <w:r>
        <w:rPr>
          <w:rFonts w:ascii="Times New Roman" w:hAnsi="Times New Roman" w:eastAsia="仿宋" w:cs="Times New Roman"/>
        </w:rPr>
        <w:br w:type="page"/>
      </w:r>
    </w:p>
    <w:p>
      <w:pPr>
        <w:jc w:val="center"/>
        <w:outlineLvl w:val="2"/>
        <w:rPr>
          <w:rStyle w:val="31"/>
          <w:rFonts w:ascii="Times New Roman" w:hAnsi="Times New Roman" w:eastAsia="仿宋"/>
          <w:sz w:val="44"/>
          <w:szCs w:val="44"/>
        </w:rPr>
      </w:pPr>
      <w:bookmarkStart w:id="17" w:name="_Toc70262745"/>
      <w:bookmarkStart w:id="18" w:name="_Toc239590563"/>
      <w:bookmarkStart w:id="19" w:name="_Toc106980806"/>
      <w:r>
        <w:rPr>
          <w:rStyle w:val="31"/>
          <w:rFonts w:ascii="Times New Roman" w:hAnsi="Times New Roman" w:eastAsia="仿宋"/>
          <w:sz w:val="44"/>
          <w:szCs w:val="44"/>
        </w:rPr>
        <w:t>企业价值评估</w:t>
      </w:r>
      <w:r>
        <w:rPr>
          <w:rStyle w:val="31"/>
          <w:rFonts w:hint="eastAsia" w:ascii="Times New Roman" w:hAnsi="Times New Roman" w:eastAsia="仿宋"/>
          <w:sz w:val="44"/>
          <w:szCs w:val="44"/>
        </w:rPr>
        <w:t>（非国资）业务</w:t>
      </w:r>
      <w:r>
        <w:rPr>
          <w:rStyle w:val="31"/>
          <w:rFonts w:hint="eastAsia" w:ascii="Times New Roman" w:hAnsi="Times New Roman" w:eastAsia="仿宋"/>
          <w:sz w:val="44"/>
          <w:szCs w:val="44"/>
          <w:lang w:eastAsia="zh-CN"/>
        </w:rPr>
        <w:t>自查</w:t>
      </w:r>
      <w:r>
        <w:rPr>
          <w:rStyle w:val="31"/>
          <w:rFonts w:ascii="Times New Roman" w:hAnsi="Times New Roman" w:eastAsia="仿宋"/>
          <w:sz w:val="44"/>
          <w:szCs w:val="44"/>
        </w:rPr>
        <w:t>说明</w:t>
      </w:r>
      <w:bookmarkEnd w:id="17"/>
      <w:bookmarkEnd w:id="18"/>
      <w:bookmarkEnd w:id="19"/>
    </w:p>
    <w:p>
      <w:pPr>
        <w:spacing w:line="360" w:lineRule="auto"/>
        <w:ind w:firstLine="630" w:firstLineChars="196"/>
        <w:rPr>
          <w:rFonts w:ascii="Times New Roman" w:hAnsi="Times New Roman" w:eastAsia="仿宋" w:cs="Times New Roman"/>
          <w:b/>
          <w:sz w:val="24"/>
        </w:rPr>
      </w:pPr>
      <w:r>
        <w:rPr>
          <w:rFonts w:ascii="仿宋" w:hAnsi="仿宋" w:eastAsia="仿宋" w:cs="Times New Roman"/>
          <w:b/>
          <w:sz w:val="32"/>
          <w:szCs w:val="32"/>
        </w:rPr>
        <mc:AlternateContent>
          <mc:Choice Requires="wps">
            <w:drawing>
              <wp:anchor distT="45720" distB="45720" distL="114300" distR="114300" simplePos="0" relativeHeight="251660288" behindDoc="0" locked="0" layoutInCell="1" allowOverlap="1">
                <wp:simplePos x="0" y="0"/>
                <wp:positionH relativeFrom="column">
                  <wp:posOffset>10795</wp:posOffset>
                </wp:positionH>
                <wp:positionV relativeFrom="paragraph">
                  <wp:posOffset>386715</wp:posOffset>
                </wp:positionV>
                <wp:extent cx="5342890" cy="1885950"/>
                <wp:effectExtent l="0" t="0" r="10160" b="19050"/>
                <wp:wrapSquare wrapText="bothSides"/>
                <wp:docPr id="3" name="文本框 3"/>
                <wp:cNvGraphicFramePr/>
                <a:graphic xmlns:a="http://schemas.openxmlformats.org/drawingml/2006/main">
                  <a:graphicData uri="http://schemas.microsoft.com/office/word/2010/wordprocessingShape">
                    <wps:wsp>
                      <wps:cNvSpPr txBox="1"/>
                      <wps:spPr>
                        <a:xfrm>
                          <a:off x="0" y="0"/>
                          <a:ext cx="5342890" cy="1885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565" w:firstLineChars="202"/>
                              <w:jc w:val="left"/>
                            </w:pP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过程中重点关注各检查项目得分在0、1.2.3分的情况，检查底稿表中只对检查得分为0、1.2.3分的情况进行填报记录，即在对应检查项目中填写相应得分。</w:t>
                            </w:r>
                          </w:p>
                        </w:txbxContent>
                      </wps:txbx>
                      <wps:bodyPr wrap="square" upright="1">
                        <a:noAutofit/>
                      </wps:bodyPr>
                    </wps:wsp>
                  </a:graphicData>
                </a:graphic>
              </wp:anchor>
            </w:drawing>
          </mc:Choice>
          <mc:Fallback>
            <w:pict>
              <v:shape id="_x0000_s1026" o:spid="_x0000_s1026" o:spt="202" type="#_x0000_t202" style="position:absolute;left:0pt;margin-left:0.85pt;margin-top:30.45pt;height:148.5pt;width:420.7pt;mso-wrap-distance-bottom:3.6pt;mso-wrap-distance-left:9pt;mso-wrap-distance-right:9pt;mso-wrap-distance-top:3.6pt;z-index:251660288;mso-width-relative:page;mso-height-relative:page;" fillcolor="#FFFFFF" filled="t" stroked="t" coordsize="21600,21600" o:gfxdata="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c1E&#10;D9cAAAAIAQAADwAAAAAAAAABACAAAAAiAAAAZHJzL2Rvd25yZXYueG1sUEsBAhQAFAAAAAgAh07i&#10;QC+84NsjAgAAXwQAAA4AAAAAAAAAAQAgAAAAJgEAAGRycy9lMm9Eb2MueG1sUEsFBgAAAAAGAAYA&#10;WQEAALsFAAAAAA==&#10;">
                <v:fill on="t" focussize="0,0"/>
                <v:stroke color="#000000" joinstyle="miter"/>
                <v:imagedata o:title=""/>
                <o:lock v:ext="edit" aspectratio="f"/>
                <v:textbo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565" w:firstLineChars="202"/>
                        <w:jc w:val="left"/>
                      </w:pP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过程中重点关注各检查项目得分在0、1.2.3分的情况，检查底稿表中只对检查得分为0、1.2.3分的情况进行填报记录，即在对应检查项目中填写相应得分。</w:t>
                      </w:r>
                    </w:p>
                  </w:txbxContent>
                </v:textbox>
                <w10:wrap type="square"/>
              </v:shape>
            </w:pict>
          </mc:Fallback>
        </mc:AlternateContent>
      </w:r>
    </w:p>
    <w:p>
      <w:pPr>
        <w:spacing w:line="360" w:lineRule="auto"/>
        <w:ind w:firstLine="472" w:firstLineChars="196"/>
        <w:rPr>
          <w:rFonts w:ascii="Times New Roman" w:hAnsi="Times New Roman" w:eastAsia="仿宋" w:cs="Times New Roman"/>
          <w:b/>
          <w:sz w:val="24"/>
        </w:rPr>
      </w:pPr>
    </w:p>
    <w:p>
      <w:pPr>
        <w:rPr>
          <w:rFonts w:ascii="Times New Roman" w:hAnsi="Times New Roman" w:eastAsia="仿宋" w:cs="Times New Roman"/>
          <w:sz w:val="24"/>
        </w:rPr>
      </w:pPr>
    </w:p>
    <w:p>
      <w:pPr>
        <w:rPr>
          <w:rFonts w:ascii="Times New Roman" w:hAnsi="Times New Roman" w:eastAsia="仿宋" w:cs="Times New Roman"/>
          <w:sz w:val="24"/>
        </w:rPr>
      </w:pPr>
    </w:p>
    <w:p>
      <w:pPr>
        <w:jc w:val="center"/>
        <w:outlineLvl w:val="2"/>
        <w:rPr>
          <w:rStyle w:val="31"/>
          <w:rFonts w:ascii="Times New Roman" w:hAnsi="Times New Roman" w:eastAsia="仿宋"/>
          <w:b w:val="0"/>
          <w:szCs w:val="36"/>
        </w:rPr>
      </w:pPr>
      <w:bookmarkStart w:id="20" w:name="_Toc70262746"/>
      <w:bookmarkStart w:id="21" w:name="_Toc106980809"/>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szCs w:val="36"/>
        </w:rPr>
      </w:pPr>
      <w:r>
        <w:rPr>
          <w:rStyle w:val="31"/>
          <w:rFonts w:ascii="Times New Roman" w:hAnsi="Times New Roman" w:eastAsia="仿宋"/>
          <w:b w:val="0"/>
          <w:szCs w:val="36"/>
        </w:rPr>
        <w:t xml:space="preserve">表4-3 </w:t>
      </w:r>
      <w:r>
        <w:rPr>
          <w:rStyle w:val="31"/>
          <w:rFonts w:ascii="Times New Roman" w:hAnsi="Times New Roman" w:eastAsia="仿宋"/>
          <w:szCs w:val="36"/>
        </w:rPr>
        <w:t>企业价值评估（国资）</w:t>
      </w:r>
      <w:r>
        <w:rPr>
          <w:rStyle w:val="31"/>
          <w:rFonts w:hint="eastAsia" w:ascii="Times New Roman" w:hAnsi="Times New Roman" w:eastAsia="仿宋"/>
          <w:szCs w:val="36"/>
          <w:lang w:eastAsia="zh-CN"/>
        </w:rPr>
        <w:t>自查</w:t>
      </w:r>
      <w:r>
        <w:rPr>
          <w:rStyle w:val="31"/>
          <w:rFonts w:ascii="Times New Roman" w:hAnsi="Times New Roman" w:eastAsia="仿宋"/>
          <w:szCs w:val="36"/>
        </w:rPr>
        <w:t>底稿</w:t>
      </w:r>
      <w:bookmarkEnd w:id="20"/>
      <w:bookmarkEnd w:id="21"/>
    </w:p>
    <w:p>
      <w:pPr>
        <w:rPr>
          <w:rFonts w:ascii="Times New Roman" w:hAnsi="Times New Roman" w:eastAsia="仿宋" w:cs="Times New Roman"/>
          <w:sz w:val="24"/>
        </w:rPr>
      </w:pPr>
    </w:p>
    <w:tbl>
      <w:tblPr>
        <w:tblStyle w:val="25"/>
        <w:tblW w:w="4943"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85"/>
        <w:gridCol w:w="5654"/>
        <w:gridCol w:w="1097"/>
        <w:gridCol w:w="7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blHeader/>
        </w:trPr>
        <w:tc>
          <w:tcPr>
            <w:tcW w:w="5000" w:type="pct"/>
            <w:gridSpan w:val="4"/>
            <w:tcBorders>
              <w:top w:val="nil"/>
              <w:left w:val="nil"/>
              <w:bottom w:val="single" w:color="000000" w:sz="8" w:space="0"/>
              <w:right w:val="nil"/>
            </w:tcBorders>
            <w:shd w:val="clear" w:color="auto" w:fill="auto"/>
            <w:noWrap/>
            <w:vAlign w:val="center"/>
          </w:tcPr>
          <w:p>
            <w:pPr>
              <w:widowControl/>
              <w:jc w:val="left"/>
              <w:textAlignment w:val="center"/>
              <w:rPr>
                <w:rFonts w:ascii="Times New Roman" w:hAnsi="Times New Roman" w:eastAsia="仿宋" w:cs="Times New Roman"/>
                <w:b/>
                <w:bCs/>
                <w:sz w:val="24"/>
                <w:szCs w:val="24"/>
              </w:rPr>
            </w:pP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 xml:space="preserve">单位名称：                                   </w:t>
            </w: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报告文号</w:t>
            </w:r>
            <w:r>
              <w:rPr>
                <w:rFonts w:ascii="Times New Roman" w:hAnsi="Times New Roman" w:eastAsia="仿宋" w:cs="Times New Roman"/>
                <w:b/>
                <w:bCs/>
                <w:kern w:val="0"/>
                <w:sz w:val="24"/>
                <w:szCs w:val="24"/>
                <w:lang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5" w:hRule="atLeast"/>
          <w:tblHeader/>
        </w:trPr>
        <w:tc>
          <w:tcPr>
            <w:tcW w:w="629" w:type="pct"/>
            <w:tcBorders>
              <w:top w:val="single" w:color="000000" w:sz="8"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序号</w:t>
            </w:r>
          </w:p>
        </w:tc>
        <w:tc>
          <w:tcPr>
            <w:tcW w:w="3279" w:type="pct"/>
            <w:tcBorders>
              <w:top w:val="single" w:color="000000" w:sz="8"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ascii="Times New Roman" w:hAnsi="Times New Roman" w:eastAsia="仿宋" w:cs="Times New Roman"/>
                <w:b/>
                <w:bCs/>
                <w:kern w:val="0"/>
                <w:sz w:val="22"/>
                <w:lang w:bidi="ar"/>
              </w:rPr>
              <w:t>内容</w:t>
            </w:r>
          </w:p>
        </w:tc>
        <w:tc>
          <w:tcPr>
            <w:tcW w:w="636" w:type="pct"/>
            <w:tcBorders>
              <w:top w:val="single" w:color="000000" w:sz="8"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hint="eastAsia" w:ascii="Times New Roman" w:hAnsi="Times New Roman" w:eastAsia="仿宋" w:cs="Times New Roman"/>
                <w:b/>
                <w:bCs/>
                <w:kern w:val="0"/>
                <w:sz w:val="22"/>
                <w:lang w:bidi="ar"/>
              </w:rPr>
              <w:t>得分</w:t>
            </w:r>
          </w:p>
        </w:tc>
        <w:tc>
          <w:tcPr>
            <w:tcW w:w="456" w:type="pct"/>
            <w:tcBorders>
              <w:top w:val="single" w:color="000000" w:sz="8"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索引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5000" w:type="pct"/>
            <w:gridSpan w:val="4"/>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一、评估工作底稿的规范性和完备性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C0C0C0"/>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r>
              <w:rPr>
                <w:rFonts w:ascii="Segoe UI Symbol" w:hAnsi="Segoe UI Symbol" w:eastAsia="仿宋" w:cs="Segoe UI Symbol"/>
                <w:kern w:val="0"/>
                <w:sz w:val="22"/>
                <w:lang w:bidi="ar"/>
              </w:rPr>
              <w:t>★</w:t>
            </w:r>
          </w:p>
        </w:tc>
        <w:tc>
          <w:tcPr>
            <w:tcW w:w="3279" w:type="pct"/>
            <w:shd w:val="clear" w:color="auto" w:fill="C0C0C0"/>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明确业务基本事项</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C0C0C0"/>
            <w:noWrap/>
            <w:vAlign w:val="center"/>
          </w:tcPr>
          <w:p>
            <w:pPr>
              <w:jc w:val="righ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 </w:instrText>
            </w:r>
            <w:r>
              <w:fldChar w:fldCharType="separate"/>
            </w:r>
            <w:r>
              <w:rPr>
                <w:rStyle w:val="28"/>
                <w:rFonts w:ascii="Times New Roman" w:hAnsi="Times New Roman" w:eastAsia="仿宋" w:cs="Times New Roman"/>
                <w:color w:val="auto"/>
                <w:sz w:val="22"/>
                <w:u w:val="none"/>
              </w:rPr>
              <w:t>资产评估业务基本事项</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"操作说明!A26" </w:instrText>
            </w:r>
            <w:r>
              <w:fldChar w:fldCharType="separate"/>
            </w:r>
            <w:r>
              <w:rPr>
                <w:rStyle w:val="28"/>
                <w:rFonts w:ascii="Times New Roman" w:hAnsi="Times New Roman" w:eastAsia="仿宋" w:cs="Times New Roman"/>
                <w:color w:val="auto"/>
                <w:sz w:val="22"/>
                <w:u w:val="none"/>
              </w:rPr>
              <w:t>专业能力分析和评价</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"操作说明!A39" </w:instrText>
            </w:r>
            <w:r>
              <w:fldChar w:fldCharType="separate"/>
            </w:r>
            <w:r>
              <w:rPr>
                <w:rStyle w:val="28"/>
                <w:rFonts w:ascii="Times New Roman" w:hAnsi="Times New Roman" w:eastAsia="仿宋" w:cs="Times New Roman"/>
                <w:color w:val="auto"/>
                <w:sz w:val="22"/>
                <w:u w:val="none"/>
              </w:rPr>
              <w:t>独立性分析和评价</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"操作说明!A55" </w:instrText>
            </w:r>
            <w:r>
              <w:fldChar w:fldCharType="separate"/>
            </w:r>
            <w:r>
              <w:rPr>
                <w:rStyle w:val="28"/>
                <w:rFonts w:ascii="Times New Roman" w:hAnsi="Times New Roman" w:eastAsia="仿宋" w:cs="Times New Roman"/>
                <w:color w:val="auto"/>
                <w:sz w:val="22"/>
                <w:u w:val="none"/>
              </w:rPr>
              <w:t>业务风险分析和评价</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"操作说明!A70" </w:instrText>
            </w:r>
            <w:r>
              <w:fldChar w:fldCharType="separate"/>
            </w:r>
            <w:r>
              <w:rPr>
                <w:rStyle w:val="28"/>
                <w:rFonts w:ascii="Times New Roman" w:hAnsi="Times New Roman" w:eastAsia="仿宋" w:cs="Times New Roman"/>
                <w:color w:val="auto"/>
                <w:sz w:val="22"/>
                <w:u w:val="none"/>
              </w:rPr>
              <w:t>利用专家工作分析和评价</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"操作说明!A90" </w:instrText>
            </w:r>
            <w:r>
              <w:fldChar w:fldCharType="separate"/>
            </w:r>
            <w:r>
              <w:rPr>
                <w:rStyle w:val="28"/>
                <w:rFonts w:ascii="Times New Roman" w:hAnsi="Times New Roman" w:eastAsia="仿宋" w:cs="Times New Roman"/>
                <w:color w:val="auto"/>
                <w:sz w:val="22"/>
                <w:u w:val="none"/>
              </w:rPr>
              <w:t>评估业务承接综合分析和评价</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"操作说明!A100" </w:instrText>
            </w:r>
            <w:r>
              <w:fldChar w:fldCharType="separate"/>
            </w:r>
            <w:r>
              <w:rPr>
                <w:rStyle w:val="28"/>
                <w:rFonts w:ascii="Times New Roman" w:hAnsi="Times New Roman" w:eastAsia="仿宋" w:cs="Times New Roman"/>
                <w:color w:val="auto"/>
                <w:sz w:val="22"/>
                <w:u w:val="none"/>
              </w:rPr>
              <w:t>订立资产评估委托合同</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"操作说明!A128" </w:instrText>
            </w:r>
            <w:r>
              <w:fldChar w:fldCharType="separate"/>
            </w:r>
            <w:r>
              <w:rPr>
                <w:rStyle w:val="28"/>
                <w:rFonts w:ascii="Times New Roman" w:hAnsi="Times New Roman" w:eastAsia="仿宋" w:cs="Times New Roman"/>
                <w:color w:val="auto"/>
                <w:sz w:val="22"/>
                <w:u w:val="none"/>
              </w:rPr>
              <w:t>编制资产评估计划</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279" w:type="pct"/>
            <w:shd w:val="clear" w:color="auto" w:fill="BFBFB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现场调查</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"操作说明!A144" </w:instrText>
            </w:r>
            <w:r>
              <w:fldChar w:fldCharType="separate"/>
            </w:r>
            <w:r>
              <w:rPr>
                <w:rStyle w:val="28"/>
                <w:rFonts w:ascii="Times New Roman" w:hAnsi="Times New Roman" w:eastAsia="仿宋" w:cs="Times New Roman"/>
                <w:color w:val="auto"/>
                <w:sz w:val="22"/>
                <w:u w:val="none"/>
              </w:rPr>
              <w:t>选择了与评估项目相适应的现场调查方式</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"操作说明!A157" </w:instrText>
            </w:r>
            <w:r>
              <w:fldChar w:fldCharType="separate"/>
            </w:r>
            <w:r>
              <w:rPr>
                <w:rStyle w:val="28"/>
                <w:rFonts w:ascii="Times New Roman" w:hAnsi="Times New Roman" w:eastAsia="仿宋" w:cs="Times New Roman"/>
                <w:color w:val="auto"/>
                <w:sz w:val="22"/>
                <w:u w:val="none"/>
              </w:rPr>
              <w:t>可以根据重要性原则采用逐项或者抽样的方式进行现场调查</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"操作说明!A171" </w:instrText>
            </w:r>
            <w:r>
              <w:fldChar w:fldCharType="separate"/>
            </w:r>
            <w:r>
              <w:rPr>
                <w:rStyle w:val="28"/>
                <w:rFonts w:ascii="Times New Roman" w:hAnsi="Times New Roman" w:eastAsia="仿宋" w:cs="Times New Roman"/>
                <w:color w:val="auto"/>
                <w:sz w:val="22"/>
                <w:u w:val="none"/>
              </w:rPr>
              <w:t>采用询问、访谈方式进行现场调查</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"操作说明!A182" </w:instrText>
            </w:r>
            <w:r>
              <w:fldChar w:fldCharType="separate"/>
            </w:r>
            <w:r>
              <w:rPr>
                <w:rStyle w:val="28"/>
                <w:rFonts w:ascii="Times New Roman" w:hAnsi="Times New Roman" w:eastAsia="仿宋" w:cs="Times New Roman"/>
                <w:color w:val="auto"/>
                <w:sz w:val="22"/>
                <w:u w:val="none"/>
              </w:rPr>
              <w:t>采用核对、监盘、勘查等方式进行现场调查</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"操作说明!A196" </w:instrText>
            </w:r>
            <w:r>
              <w:fldChar w:fldCharType="separate"/>
            </w:r>
            <w:r>
              <w:rPr>
                <w:rStyle w:val="28"/>
                <w:rFonts w:ascii="Times New Roman" w:hAnsi="Times New Roman" w:eastAsia="仿宋" w:cs="Times New Roman"/>
                <w:color w:val="auto"/>
                <w:sz w:val="22"/>
                <w:u w:val="none"/>
              </w:rPr>
              <w:t>经营和会计核算查阅记录</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"操作说明!A209" </w:instrText>
            </w:r>
            <w:r>
              <w:fldChar w:fldCharType="separate"/>
            </w:r>
            <w:r>
              <w:rPr>
                <w:rStyle w:val="28"/>
                <w:rFonts w:ascii="Times New Roman" w:hAnsi="Times New Roman" w:eastAsia="仿宋" w:cs="Times New Roman"/>
                <w:color w:val="auto"/>
                <w:sz w:val="22"/>
                <w:u w:val="none"/>
              </w:rPr>
              <w:t>现场调查受到客观限制时采取的其他适用方法和纪录</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收集评估资料、核查验证，包括下列内容：</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8"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"操作说明!A222" </w:instrText>
            </w:r>
            <w:r>
              <w:fldChar w:fldCharType="separate"/>
            </w:r>
            <w:r>
              <w:rPr>
                <w:rStyle w:val="28"/>
                <w:rFonts w:ascii="Times New Roman" w:hAnsi="Times New Roman" w:eastAsia="仿宋" w:cs="Times New Roman"/>
                <w:color w:val="auto"/>
                <w:sz w:val="22"/>
                <w:u w:val="none"/>
              </w:rPr>
              <w:t>收集被评估单位的信息资料及与其相关的其它信息资料，并进行审慎分析，确信信息来源是可靠的和适当的（包括但不限于以下方面）：</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"操作说明!A225" </w:instrText>
            </w:r>
            <w:r>
              <w:fldChar w:fldCharType="separate"/>
            </w:r>
            <w:r>
              <w:rPr>
                <w:rStyle w:val="28"/>
                <w:rFonts w:ascii="Times New Roman" w:hAnsi="Times New Roman" w:eastAsia="仿宋" w:cs="Times New Roman"/>
                <w:color w:val="auto"/>
                <w:sz w:val="22"/>
                <w:u w:val="none"/>
              </w:rPr>
              <w:t>评估对象权益状况相关的协议、章程、股权证明等有关法律文件</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"操作说明!A237" </w:instrText>
            </w:r>
            <w:r>
              <w:fldChar w:fldCharType="separate"/>
            </w:r>
            <w:r>
              <w:rPr>
                <w:rStyle w:val="28"/>
                <w:rFonts w:ascii="Times New Roman" w:hAnsi="Times New Roman" w:eastAsia="仿宋" w:cs="Times New Roman"/>
                <w:color w:val="auto"/>
                <w:sz w:val="22"/>
                <w:u w:val="none"/>
              </w:rPr>
              <w:t>被评估单位历史沿革、控股股东及股东持股比例、经营管理结构和产权架构资料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"操作说明!A249" </w:instrText>
            </w:r>
            <w:r>
              <w:fldChar w:fldCharType="separate"/>
            </w:r>
            <w:r>
              <w:rPr>
                <w:rStyle w:val="28"/>
                <w:rFonts w:ascii="Times New Roman" w:hAnsi="Times New Roman" w:eastAsia="仿宋" w:cs="Times New Roman"/>
                <w:color w:val="auto"/>
                <w:sz w:val="22"/>
                <w:u w:val="none"/>
              </w:rPr>
              <w:t>被评估单位的业务、资产、财务、人员及经营状况资料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"操作说明!A264" </w:instrText>
            </w:r>
            <w:r>
              <w:fldChar w:fldCharType="separate"/>
            </w:r>
            <w:r>
              <w:rPr>
                <w:rStyle w:val="28"/>
                <w:rFonts w:ascii="Times New Roman" w:hAnsi="Times New Roman" w:eastAsia="仿宋" w:cs="Times New Roman"/>
                <w:color w:val="auto"/>
                <w:sz w:val="22"/>
                <w:u w:val="none"/>
              </w:rPr>
              <w:t>被评估单位经营计划、发展规划和收益预测资料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"操作说明!A279" </w:instrText>
            </w:r>
            <w:r>
              <w:fldChar w:fldCharType="separate"/>
            </w:r>
            <w:r>
              <w:rPr>
                <w:rStyle w:val="28"/>
                <w:rFonts w:ascii="Times New Roman" w:hAnsi="Times New Roman" w:eastAsia="仿宋" w:cs="Times New Roman"/>
                <w:color w:val="auto"/>
                <w:sz w:val="22"/>
                <w:u w:val="none"/>
              </w:rPr>
              <w:t>评估对象涉及的主要资产权属证明资料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⑥</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"操作说明!A292" </w:instrText>
            </w:r>
            <w:r>
              <w:fldChar w:fldCharType="separate"/>
            </w:r>
            <w:r>
              <w:rPr>
                <w:rStyle w:val="28"/>
                <w:rFonts w:ascii="Times New Roman" w:hAnsi="Times New Roman" w:eastAsia="仿宋" w:cs="Times New Roman"/>
                <w:color w:val="auto"/>
                <w:sz w:val="22"/>
                <w:u w:val="none"/>
              </w:rPr>
              <w:t>评估对象、被评估单位以往的评估及交易资料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⑦</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"操作说明!A304" </w:instrText>
            </w:r>
            <w:r>
              <w:fldChar w:fldCharType="separate"/>
            </w:r>
            <w:r>
              <w:rPr>
                <w:rStyle w:val="28"/>
                <w:rFonts w:ascii="Times New Roman" w:hAnsi="Times New Roman" w:eastAsia="仿宋" w:cs="Times New Roman"/>
                <w:color w:val="auto"/>
                <w:sz w:val="22"/>
                <w:u w:val="none"/>
              </w:rPr>
              <w:t>影响被评估单位经营的宏观、区域经济因素资料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⑧</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"操作说明!A314" </w:instrText>
            </w:r>
            <w:r>
              <w:fldChar w:fldCharType="separate"/>
            </w:r>
            <w:r>
              <w:rPr>
                <w:rStyle w:val="28"/>
                <w:rFonts w:ascii="Times New Roman" w:hAnsi="Times New Roman" w:eastAsia="仿宋" w:cs="Times New Roman"/>
                <w:color w:val="auto"/>
                <w:sz w:val="22"/>
                <w:u w:val="none"/>
              </w:rPr>
              <w:t>被评估单位所在行业现状与发展前景资料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⑨</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"操作说明!A324" </w:instrText>
            </w:r>
            <w:r>
              <w:fldChar w:fldCharType="separate"/>
            </w:r>
            <w:r>
              <w:rPr>
                <w:rStyle w:val="28"/>
                <w:rFonts w:ascii="Times New Roman" w:hAnsi="Times New Roman" w:eastAsia="仿宋" w:cs="Times New Roman"/>
                <w:color w:val="auto"/>
                <w:sz w:val="22"/>
                <w:u w:val="none"/>
              </w:rPr>
              <w:t>证券市场、产权交易市场等市场的有关资料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⑩</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"操作说明!A334" </w:instrText>
            </w:r>
            <w:r>
              <w:fldChar w:fldCharType="separate"/>
            </w:r>
            <w:r>
              <w:rPr>
                <w:rStyle w:val="28"/>
                <w:rFonts w:ascii="Times New Roman" w:hAnsi="Times New Roman" w:eastAsia="仿宋" w:cs="Times New Roman"/>
                <w:color w:val="auto"/>
                <w:sz w:val="22"/>
                <w:u w:val="none"/>
              </w:rPr>
              <w:t>可比企业的经营情况、财务信息、股票价格或者股权交易价格等资料</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⑪</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"操作说明!A347" </w:instrText>
            </w:r>
            <w:r>
              <w:fldChar w:fldCharType="separate"/>
            </w:r>
            <w:r>
              <w:rPr>
                <w:rStyle w:val="28"/>
                <w:rFonts w:ascii="Times New Roman" w:hAnsi="Times New Roman" w:eastAsia="仿宋" w:cs="Times New Roman"/>
                <w:color w:val="auto"/>
                <w:sz w:val="22"/>
                <w:u w:val="none"/>
              </w:rPr>
              <w:t>评估目的对应的经济行为文件</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⑫</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"操作说明!A360" </w:instrText>
            </w:r>
            <w:r>
              <w:fldChar w:fldCharType="separate"/>
            </w:r>
            <w:r>
              <w:rPr>
                <w:rStyle w:val="28"/>
                <w:rFonts w:ascii="Times New Roman" w:hAnsi="Times New Roman" w:eastAsia="仿宋" w:cs="Times New Roman"/>
                <w:color w:val="auto"/>
                <w:sz w:val="22"/>
                <w:u w:val="none"/>
              </w:rPr>
              <w:t>有被评估企业所申报的资产和负债明细表</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⑬</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"操作说明!A374" </w:instrText>
            </w:r>
            <w:r>
              <w:fldChar w:fldCharType="separate"/>
            </w:r>
            <w:r>
              <w:rPr>
                <w:rStyle w:val="28"/>
                <w:rFonts w:ascii="Times New Roman" w:hAnsi="Times New Roman" w:eastAsia="仿宋" w:cs="Times New Roman"/>
                <w:color w:val="auto"/>
                <w:sz w:val="22"/>
                <w:u w:val="none"/>
              </w:rPr>
              <w:t>收集的有关询价资料、参数资料等</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2"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"操作说明!A386" </w:instrText>
            </w:r>
            <w:r>
              <w:fldChar w:fldCharType="separate"/>
            </w:r>
            <w:r>
              <w:rPr>
                <w:rStyle w:val="28"/>
                <w:rFonts w:ascii="Times New Roman" w:hAnsi="Times New Roman" w:eastAsia="仿宋" w:cs="Times New Roman"/>
                <w:color w:val="auto"/>
                <w:sz w:val="22"/>
                <w:u w:val="none"/>
              </w:rPr>
              <w:t>对所采用的被评估单位和可比企业财务报表或者公开财务资料进行分析和判断</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12"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"操作说明!A399" </w:instrText>
            </w:r>
            <w:r>
              <w:fldChar w:fldCharType="separate"/>
            </w:r>
            <w:r>
              <w:rPr>
                <w:rStyle w:val="28"/>
                <w:rFonts w:ascii="Times New Roman" w:hAnsi="Times New Roman" w:eastAsia="仿宋" w:cs="Times New Roman"/>
                <w:color w:val="auto"/>
                <w:sz w:val="22"/>
                <w:u w:val="none"/>
              </w:rPr>
              <w:t>采用收益法或市场法进行企业价值评估时，可以对被评估单位和可比企业财务报表进行分析和必要的调整（对历史财务数据的调整通常包括以下事项）：</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调整被评估企业和可比企业财务报表的编制基础</w:t>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调整非经常性收入和支出</w:t>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调整非经营性资产、负债和溢余资产及与其相关的收入和支出</w:t>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8"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"操作说明!A434" </w:instrText>
            </w:r>
            <w:r>
              <w:fldChar w:fldCharType="separate"/>
            </w:r>
            <w:r>
              <w:rPr>
                <w:rStyle w:val="28"/>
                <w:rFonts w:ascii="Times New Roman" w:hAnsi="Times New Roman" w:eastAsia="仿宋" w:cs="Times New Roman"/>
                <w:color w:val="auto"/>
                <w:sz w:val="22"/>
                <w:u w:val="none"/>
              </w:rPr>
              <w:t>在与委托人、相关当事方沟通基础上的，对企业资产配置和使用的情况，以及非经营性资产、负债和溢余资产情况的分析或说明</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委托人、相关当事方对被评估单位资产配置和使用情况的说明</w:t>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评估人员对非经营性资产、负债和溢余资产情况的分析或说明</w:t>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"操作说明!A443" </w:instrText>
            </w:r>
            <w:r>
              <w:fldChar w:fldCharType="separate"/>
            </w:r>
            <w:r>
              <w:rPr>
                <w:rStyle w:val="28"/>
                <w:rFonts w:ascii="Times New Roman" w:hAnsi="Times New Roman" w:eastAsia="仿宋" w:cs="Times New Roman"/>
                <w:color w:val="auto"/>
                <w:sz w:val="22"/>
                <w:u w:val="none"/>
              </w:rPr>
              <w:t>对评估活动中使用的资料进行核查验证</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评定估算，包括下列内容：</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"操作说明!A461" </w:instrText>
            </w:r>
            <w:r>
              <w:fldChar w:fldCharType="separate"/>
            </w:r>
            <w:r>
              <w:rPr>
                <w:rStyle w:val="28"/>
                <w:rFonts w:ascii="Times New Roman" w:hAnsi="Times New Roman" w:eastAsia="仿宋" w:cs="Times New Roman"/>
                <w:color w:val="auto"/>
                <w:sz w:val="22"/>
                <w:u w:val="none"/>
              </w:rPr>
              <w:t>评估方法选择的适用性分析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运用收益法进行企业价值评估时：</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"操作说明!A473" </w:instrText>
            </w:r>
            <w:r>
              <w:fldChar w:fldCharType="separate"/>
            </w:r>
            <w:r>
              <w:rPr>
                <w:rStyle w:val="28"/>
                <w:rFonts w:ascii="Times New Roman" w:hAnsi="Times New Roman" w:eastAsia="仿宋" w:cs="Times New Roman"/>
                <w:color w:val="auto"/>
                <w:sz w:val="22"/>
                <w:u w:val="none"/>
              </w:rPr>
              <w:t>收益法具体方法选择的适当性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对委托人和其他相关当事人提供的企业未来收益资料，并从以下方面进行必要的分析、判断和调整，合理确定评估假设，形成未来收益预测</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"操作说明!A491" </w:instrText>
            </w:r>
            <w:r>
              <w:fldChar w:fldCharType="separate"/>
            </w:r>
            <w:r>
              <w:rPr>
                <w:rStyle w:val="28"/>
                <w:rFonts w:ascii="Times New Roman" w:hAnsi="Times New Roman" w:eastAsia="仿宋" w:cs="Times New Roman"/>
                <w:color w:val="auto"/>
                <w:sz w:val="22"/>
                <w:u w:val="none"/>
              </w:rPr>
              <w:t>结合被评估单位的人力资源、技术水平、资本结构、经营状况、 历史业绩、发展趋势，考虑宏观经济因素、所在行业现状与发展前景</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"操作说明!A500" </w:instrText>
            </w:r>
            <w:r>
              <w:fldChar w:fldCharType="separate"/>
            </w:r>
            <w:r>
              <w:rPr>
                <w:rStyle w:val="28"/>
                <w:rFonts w:ascii="Times New Roman" w:hAnsi="Times New Roman" w:eastAsia="仿宋" w:cs="Times New Roman"/>
                <w:color w:val="auto"/>
                <w:sz w:val="22"/>
                <w:u w:val="none"/>
              </w:rPr>
              <w:t>对所采用的被评估单位和可比企业财务指标的合理性进行分析和判断</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3"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"操作说明!A509" </w:instrText>
            </w:r>
            <w:r>
              <w:fldChar w:fldCharType="separate"/>
            </w:r>
            <w:r>
              <w:rPr>
                <w:rStyle w:val="28"/>
                <w:rFonts w:ascii="Times New Roman" w:hAnsi="Times New Roman" w:eastAsia="仿宋" w:cs="Times New Roman"/>
                <w:color w:val="auto"/>
                <w:sz w:val="22"/>
                <w:u w:val="none"/>
              </w:rPr>
              <w:t>应当与委托人和其他相关当事人进行沟通，了解被评估单位资产配置和使用情况，谨慎识别非经营性资产、负债和溢余资产，并根据相关信息获得情况以及对评估结论的影响程度，确定是否单独评估</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"操作说明!A520" </w:instrText>
            </w:r>
            <w:r>
              <w:fldChar w:fldCharType="separate"/>
            </w:r>
            <w:r>
              <w:rPr>
                <w:rStyle w:val="28"/>
                <w:rFonts w:ascii="Times New Roman" w:hAnsi="Times New Roman" w:eastAsia="仿宋" w:cs="Times New Roman"/>
                <w:color w:val="auto"/>
                <w:sz w:val="22"/>
                <w:u w:val="none"/>
              </w:rPr>
              <w:t>收集被评估企业所涉及交易、收入、支出、投资等业务合法性和未来预测可靠性的证据</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"操作说明!A529" </w:instrText>
            </w:r>
            <w:r>
              <w:fldChar w:fldCharType="separate"/>
            </w:r>
            <w:r>
              <w:rPr>
                <w:rStyle w:val="28"/>
                <w:rFonts w:ascii="Times New Roman" w:hAnsi="Times New Roman" w:eastAsia="仿宋" w:cs="Times New Roman"/>
                <w:color w:val="auto"/>
                <w:sz w:val="22"/>
                <w:u w:val="none"/>
              </w:rPr>
              <w:t>分析预测的支持证据充分性，恰当性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8"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"操作说明!A539" </w:instrText>
            </w:r>
            <w:r>
              <w:fldChar w:fldCharType="separate"/>
            </w:r>
            <w:r>
              <w:rPr>
                <w:rStyle w:val="28"/>
                <w:rFonts w:ascii="Times New Roman" w:hAnsi="Times New Roman" w:eastAsia="仿宋" w:cs="Times New Roman"/>
                <w:color w:val="auto"/>
                <w:sz w:val="22"/>
                <w:u w:val="none"/>
              </w:rPr>
              <w:t>结合企业自身与行业状况，考虑未来发展可能出现的不同情况及其影响的基础上，评估假设具有合理性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"操作说明!A549" </w:instrText>
            </w:r>
            <w:r>
              <w:fldChar w:fldCharType="separate"/>
            </w:r>
            <w:r>
              <w:rPr>
                <w:rStyle w:val="28"/>
                <w:rFonts w:ascii="Times New Roman" w:hAnsi="Times New Roman" w:eastAsia="仿宋" w:cs="Times New Roman"/>
                <w:color w:val="auto"/>
                <w:sz w:val="22"/>
                <w:u w:val="none"/>
              </w:rPr>
              <w:t>各主要预测数据计算方法的恰当性，测算过程的合理性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3"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"操作说明!A560" </w:instrText>
            </w:r>
            <w:r>
              <w:fldChar w:fldCharType="separate"/>
            </w:r>
            <w:r>
              <w:rPr>
                <w:rStyle w:val="28"/>
                <w:rFonts w:ascii="Times New Roman" w:hAnsi="Times New Roman" w:eastAsia="仿宋" w:cs="Times New Roman"/>
                <w:color w:val="auto"/>
                <w:sz w:val="22"/>
                <w:u w:val="none"/>
              </w:rPr>
              <w:t>当委托人和其他相关当事人未提供收益预测，资产评估专业人员应当收集和利用形成未来收益预测的相关资料，并履行核查验证程序，在具备预测条件的情况下编制收益预测表</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98"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"操作说明!A572" </w:instrText>
            </w:r>
            <w:r>
              <w:fldChar w:fldCharType="separate"/>
            </w:r>
            <w:r>
              <w:rPr>
                <w:rStyle w:val="28"/>
                <w:rFonts w:ascii="Times New Roman" w:hAnsi="Times New Roman" w:eastAsia="仿宋" w:cs="Times New Roman"/>
                <w:color w:val="auto"/>
                <w:sz w:val="22"/>
                <w:u w:val="none"/>
              </w:rPr>
              <w:t>关注未来收益预测中经营管理、业务架构、主营业务收入、毛利率、营运资金、资本性支出、资本结构等主要参数与评估假设、价值类型的一致性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8"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"操作说明!A583" </w:instrText>
            </w:r>
            <w:r>
              <w:fldChar w:fldCharType="separate"/>
            </w:r>
            <w:r>
              <w:rPr>
                <w:rStyle w:val="28"/>
                <w:rFonts w:ascii="Times New Roman" w:hAnsi="Times New Roman" w:eastAsia="仿宋" w:cs="Times New Roman"/>
                <w:color w:val="auto"/>
                <w:sz w:val="22"/>
                <w:u w:val="none"/>
              </w:rPr>
              <w:t>当预测趋势与历史业绩和现实经营状况存在重大差异时，资产评估专业人员应当在资产评估报告中予以披露，并对产生差异的原因及其合理性进行说明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⑥</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"操作说明!A594" </w:instrText>
            </w:r>
            <w:r>
              <w:fldChar w:fldCharType="separate"/>
            </w:r>
            <w:r>
              <w:rPr>
                <w:rStyle w:val="28"/>
                <w:rFonts w:ascii="Times New Roman" w:hAnsi="Times New Roman" w:eastAsia="仿宋" w:cs="Times New Roman"/>
                <w:color w:val="auto"/>
                <w:sz w:val="22"/>
                <w:u w:val="none"/>
              </w:rPr>
              <w:t>恰当确定收益期</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⑦</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"操作说明!A603" </w:instrText>
            </w:r>
            <w:r>
              <w:fldChar w:fldCharType="separate"/>
            </w:r>
            <w:r>
              <w:rPr>
                <w:rStyle w:val="28"/>
                <w:rFonts w:ascii="Times New Roman" w:hAnsi="Times New Roman" w:eastAsia="仿宋" w:cs="Times New Roman"/>
                <w:color w:val="auto"/>
                <w:sz w:val="22"/>
                <w:u w:val="none"/>
              </w:rPr>
              <w:t>合理确定详细预测期</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⑧</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"操作说明!A612" </w:instrText>
            </w:r>
            <w:r>
              <w:fldChar w:fldCharType="separate"/>
            </w:r>
            <w:r>
              <w:rPr>
                <w:rStyle w:val="28"/>
                <w:rFonts w:ascii="Times New Roman" w:hAnsi="Times New Roman" w:eastAsia="仿宋" w:cs="Times New Roman"/>
                <w:color w:val="auto"/>
                <w:sz w:val="22"/>
                <w:u w:val="none"/>
              </w:rPr>
              <w:t>合理确定折现率</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⑨</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"操作说明!A621" </w:instrText>
            </w:r>
            <w:r>
              <w:fldChar w:fldCharType="separate"/>
            </w:r>
            <w:r>
              <w:rPr>
                <w:rStyle w:val="28"/>
                <w:rFonts w:ascii="Times New Roman" w:hAnsi="Times New Roman" w:eastAsia="仿宋" w:cs="Times New Roman"/>
                <w:color w:val="auto"/>
                <w:sz w:val="22"/>
                <w:u w:val="none"/>
              </w:rPr>
              <w:t>折现率计算的正确性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⑩</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"操作说明!A630" </w:instrText>
            </w:r>
            <w:r>
              <w:fldChar w:fldCharType="separate"/>
            </w:r>
            <w:r>
              <w:rPr>
                <w:rStyle w:val="28"/>
                <w:rFonts w:ascii="Times New Roman" w:hAnsi="Times New Roman" w:eastAsia="仿宋" w:cs="Times New Roman"/>
                <w:color w:val="auto"/>
                <w:sz w:val="22"/>
                <w:u w:val="none"/>
              </w:rPr>
              <w:t>考虑收益预测期后的收益情况及相关终值计算的恰当性　</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⑪</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"操作说明!A641" </w:instrText>
            </w:r>
            <w:r>
              <w:fldChar w:fldCharType="separate"/>
            </w:r>
            <w:r>
              <w:rPr>
                <w:rStyle w:val="28"/>
                <w:rFonts w:ascii="Times New Roman" w:hAnsi="Times New Roman" w:eastAsia="仿宋" w:cs="Times New Roman"/>
                <w:color w:val="auto"/>
                <w:sz w:val="22"/>
                <w:u w:val="none"/>
              </w:rPr>
              <w:t>折现率与预期收益的口径保持一致</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Cambria Math" w:hAnsi="Cambria Math" w:eastAsia="仿宋" w:cs="Cambria Math"/>
                <w:kern w:val="0"/>
                <w:sz w:val="22"/>
                <w:lang w:bidi="ar"/>
              </w:rPr>
              <w:t>⑫</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"操作说明!A652" </w:instrText>
            </w:r>
            <w:r>
              <w:fldChar w:fldCharType="separate"/>
            </w:r>
            <w:r>
              <w:rPr>
                <w:rStyle w:val="28"/>
                <w:rFonts w:ascii="Times New Roman" w:hAnsi="Times New Roman" w:eastAsia="仿宋" w:cs="Times New Roman"/>
                <w:color w:val="auto"/>
                <w:sz w:val="22"/>
                <w:u w:val="none"/>
              </w:rPr>
              <w:t>收益折现模型（公式）运用的正确性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运用市场法进行企业价值评估时：</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"操作说明!A662" </w:instrText>
            </w:r>
            <w:r>
              <w:fldChar w:fldCharType="separate"/>
            </w:r>
            <w:r>
              <w:rPr>
                <w:rStyle w:val="28"/>
                <w:rFonts w:ascii="Times New Roman" w:hAnsi="Times New Roman" w:eastAsia="仿宋" w:cs="Times New Roman"/>
                <w:color w:val="auto"/>
                <w:sz w:val="22"/>
                <w:u w:val="none"/>
              </w:rPr>
              <w:t>市场法适用性分析及具体方法的选择合理性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"操作说明!A672" </w:instrText>
            </w:r>
            <w:r>
              <w:fldChar w:fldCharType="separate"/>
            </w:r>
            <w:r>
              <w:rPr>
                <w:rStyle w:val="28"/>
                <w:rFonts w:ascii="Times New Roman" w:hAnsi="Times New Roman" w:eastAsia="仿宋" w:cs="Times New Roman"/>
                <w:color w:val="auto"/>
                <w:sz w:val="22"/>
                <w:u w:val="none"/>
              </w:rPr>
              <w:t>所选择的可比公司与被评估单位可比性分析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"操作说明!A683" </w:instrText>
            </w:r>
            <w:r>
              <w:fldChar w:fldCharType="separate"/>
            </w:r>
            <w:r>
              <w:rPr>
                <w:rStyle w:val="28"/>
                <w:rFonts w:ascii="Times New Roman" w:hAnsi="Times New Roman" w:eastAsia="仿宋" w:cs="Times New Roman"/>
                <w:color w:val="auto"/>
                <w:sz w:val="22"/>
                <w:u w:val="none"/>
              </w:rPr>
              <w:t>对被评估单位和可比企业之间的相似性和差异性进行分析比较</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评估专业人员在选择、计算、使用价值比率时，应当考虑以下内容：</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"操作说明!A695" </w:instrText>
            </w:r>
            <w:r>
              <w:fldChar w:fldCharType="separate"/>
            </w:r>
            <w:r>
              <w:rPr>
                <w:rStyle w:val="28"/>
                <w:rFonts w:ascii="Times New Roman" w:hAnsi="Times New Roman" w:eastAsia="仿宋" w:cs="Times New Roman"/>
                <w:color w:val="auto"/>
                <w:sz w:val="22"/>
                <w:u w:val="none"/>
              </w:rPr>
              <w:t>选择价值比率分析、判断的过程，结果应当有利于合理确定评估对象的价值</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"操作说明!A706" </w:instrText>
            </w:r>
            <w:r>
              <w:fldChar w:fldCharType="separate"/>
            </w:r>
            <w:r>
              <w:rPr>
                <w:rStyle w:val="28"/>
                <w:rFonts w:ascii="Times New Roman" w:hAnsi="Times New Roman" w:eastAsia="仿宋" w:cs="Times New Roman"/>
                <w:color w:val="auto"/>
                <w:sz w:val="22"/>
                <w:u w:val="none"/>
              </w:rPr>
              <w:t>计算价值比率的数据口径及计算方式一致</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"操作说明!A716" </w:instrText>
            </w:r>
            <w:r>
              <w:fldChar w:fldCharType="separate"/>
            </w:r>
            <w:r>
              <w:rPr>
                <w:rStyle w:val="28"/>
                <w:rFonts w:ascii="Times New Roman" w:hAnsi="Times New Roman" w:eastAsia="仿宋" w:cs="Times New Roman"/>
                <w:color w:val="auto"/>
                <w:sz w:val="22"/>
                <w:u w:val="none"/>
              </w:rPr>
              <w:t>应用价值比率时对可比企业和被评估企业间的差异进行合理调整</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"操作说明!A730" </w:instrText>
            </w:r>
            <w:r>
              <w:fldChar w:fldCharType="separate"/>
            </w:r>
            <w:r>
              <w:rPr>
                <w:rStyle w:val="28"/>
                <w:rFonts w:ascii="Times New Roman" w:hAnsi="Times New Roman" w:eastAsia="仿宋" w:cs="Times New Roman"/>
                <w:color w:val="auto"/>
                <w:sz w:val="22"/>
                <w:u w:val="none"/>
              </w:rPr>
              <w:t>合理将可比企业或交易案例的价值比率应用于被评估企业</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"操作说明!A742" </w:instrText>
            </w:r>
            <w:r>
              <w:fldChar w:fldCharType="separate"/>
            </w:r>
            <w:r>
              <w:rPr>
                <w:rStyle w:val="28"/>
                <w:rFonts w:ascii="Times New Roman" w:hAnsi="Times New Roman" w:eastAsia="仿宋" w:cs="Times New Roman"/>
                <w:color w:val="auto"/>
                <w:sz w:val="22"/>
                <w:u w:val="none"/>
              </w:rPr>
              <w:t>评估结论应当考虑控制权、流动性对评估对象价值的影响</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"操作说明!A751" </w:instrText>
            </w:r>
            <w:r>
              <w:fldChar w:fldCharType="separate"/>
            </w:r>
            <w:r>
              <w:rPr>
                <w:rStyle w:val="28"/>
                <w:rFonts w:ascii="Times New Roman" w:hAnsi="Times New Roman" w:eastAsia="仿宋" w:cs="Times New Roman"/>
                <w:color w:val="auto"/>
                <w:sz w:val="22"/>
                <w:u w:val="none"/>
              </w:rPr>
              <w:t>如因客观条件限制无法考虑控制权和流动性对评估对象价值的影响，应当在资产评估报告中披露其原因以及可能造成的影响。</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jc w:val="cente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运用资产基础法进行企业价值评估时：</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"操作说明!A760" </w:instrText>
            </w:r>
            <w:r>
              <w:fldChar w:fldCharType="separate"/>
            </w:r>
            <w:r>
              <w:rPr>
                <w:rStyle w:val="28"/>
                <w:rFonts w:ascii="Times New Roman" w:hAnsi="Times New Roman" w:eastAsia="仿宋" w:cs="Times New Roman"/>
                <w:color w:val="auto"/>
                <w:sz w:val="22"/>
                <w:u w:val="none"/>
              </w:rPr>
              <w:t>应当根据会计政策、企业经营等情况，要求被评估单位对资产负债表表内及表外的各项资产、负债进行识别</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"操作说明!A776" </w:instrText>
            </w:r>
            <w:r>
              <w:fldChar w:fldCharType="separate"/>
            </w:r>
            <w:r>
              <w:rPr>
                <w:rStyle w:val="28"/>
                <w:rFonts w:ascii="Times New Roman" w:hAnsi="Times New Roman" w:eastAsia="仿宋" w:cs="Times New Roman"/>
                <w:color w:val="auto"/>
                <w:sz w:val="22"/>
                <w:u w:val="none"/>
              </w:rPr>
              <w:t>各项资产的价值应当根据其具体情况选用适当的具体评估方法得出</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"操作说明!A782" </w:instrText>
            </w:r>
            <w:r>
              <w:fldChar w:fldCharType="separate"/>
            </w:r>
            <w:r>
              <w:rPr>
                <w:rStyle w:val="28"/>
                <w:rFonts w:ascii="Times New Roman" w:hAnsi="Times New Roman" w:eastAsia="仿宋" w:cs="Times New Roman"/>
                <w:color w:val="auto"/>
                <w:sz w:val="22"/>
                <w:u w:val="none"/>
              </w:rPr>
              <w:t xml:space="preserve">流动资产（非实物部分），负债的评估方法的选择及评估过程                                                                   </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"操作说明!A793" </w:instrText>
            </w:r>
            <w:r>
              <w:fldChar w:fldCharType="separate"/>
            </w:r>
            <w:r>
              <w:rPr>
                <w:rStyle w:val="28"/>
                <w:rFonts w:ascii="Times New Roman" w:hAnsi="Times New Roman" w:eastAsia="仿宋" w:cs="Times New Roman"/>
                <w:color w:val="auto"/>
                <w:sz w:val="22"/>
                <w:u w:val="none"/>
              </w:rPr>
              <w:t>存货的评估方法、参数的确定和评估过程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"操作说明!A804" </w:instrText>
            </w:r>
            <w:r>
              <w:fldChar w:fldCharType="separate"/>
            </w:r>
            <w:r>
              <w:rPr>
                <w:rStyle w:val="28"/>
                <w:rFonts w:ascii="Times New Roman" w:hAnsi="Times New Roman" w:eastAsia="仿宋" w:cs="Times New Roman"/>
                <w:color w:val="auto"/>
                <w:sz w:val="22"/>
                <w:u w:val="none"/>
              </w:rPr>
              <w:t>投资性房地产的评估依据、评估方法和评估参数的确定和评估过程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"操作说明!A815" </w:instrText>
            </w:r>
            <w:r>
              <w:fldChar w:fldCharType="separate"/>
            </w:r>
            <w:r>
              <w:rPr>
                <w:rStyle w:val="28"/>
                <w:rFonts w:ascii="Times New Roman" w:hAnsi="Times New Roman" w:eastAsia="仿宋" w:cs="Times New Roman"/>
                <w:color w:val="auto"/>
                <w:sz w:val="22"/>
                <w:u w:val="none"/>
              </w:rPr>
              <w:t>固定资产的评估依据、评估方法和评估参数的确定和评估过程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"操作说明!A826" </w:instrText>
            </w:r>
            <w:r>
              <w:fldChar w:fldCharType="separate"/>
            </w:r>
            <w:r>
              <w:rPr>
                <w:rStyle w:val="28"/>
                <w:rFonts w:ascii="Times New Roman" w:hAnsi="Times New Roman" w:eastAsia="仿宋" w:cs="Times New Roman"/>
                <w:color w:val="auto"/>
                <w:sz w:val="22"/>
                <w:u w:val="none"/>
              </w:rPr>
              <w:t>在建工程的评估依据、评估方法和评估参数的确定和评估过程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"操作说明!A837" </w:instrText>
            </w:r>
            <w:r>
              <w:fldChar w:fldCharType="separate"/>
            </w:r>
            <w:r>
              <w:rPr>
                <w:rStyle w:val="28"/>
                <w:rFonts w:ascii="Times New Roman" w:hAnsi="Times New Roman" w:eastAsia="仿宋" w:cs="Times New Roman"/>
                <w:color w:val="auto"/>
                <w:sz w:val="22"/>
                <w:u w:val="none"/>
              </w:rPr>
              <w:t>土地的评估依据、评估方法和评估参数的确定和评估过程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ⅷ</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"操作说明!A848" </w:instrText>
            </w:r>
            <w:r>
              <w:fldChar w:fldCharType="separate"/>
            </w:r>
            <w:r>
              <w:rPr>
                <w:rStyle w:val="28"/>
                <w:rFonts w:ascii="Times New Roman" w:hAnsi="Times New Roman" w:eastAsia="仿宋" w:cs="Times New Roman"/>
                <w:color w:val="auto"/>
                <w:sz w:val="22"/>
                <w:u w:val="none"/>
              </w:rPr>
              <w:t>矿业权的评估依据、评估方法和评估参数的确定和评估过程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FFFFF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ⅸ</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"操作说明!A859" </w:instrText>
            </w:r>
            <w:r>
              <w:fldChar w:fldCharType="separate"/>
            </w:r>
            <w:r>
              <w:rPr>
                <w:rStyle w:val="28"/>
                <w:rFonts w:ascii="Times New Roman" w:hAnsi="Times New Roman" w:eastAsia="仿宋" w:cs="Times New Roman"/>
                <w:color w:val="auto"/>
                <w:sz w:val="22"/>
                <w:u w:val="none"/>
              </w:rPr>
              <w:t>其他资产的评估依据、评估方法和评估参数的确定和评估过程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"操作说明!A870" </w:instrText>
            </w:r>
            <w:r>
              <w:fldChar w:fldCharType="separate"/>
            </w:r>
            <w:r>
              <w:rPr>
                <w:rStyle w:val="28"/>
                <w:rFonts w:ascii="Times New Roman" w:hAnsi="Times New Roman" w:eastAsia="仿宋" w:cs="Times New Roman"/>
                <w:color w:val="auto"/>
                <w:sz w:val="22"/>
                <w:u w:val="none"/>
              </w:rPr>
              <w:t>对长期股权投资项目进行分析，根据被评估单位对长期股权投资项目的实际控制情况以及对评估对象价值的影响程度等因素，确定是否将其单独评估</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"操作说明!A883" </w:instrText>
            </w:r>
            <w:r>
              <w:fldChar w:fldCharType="separate"/>
            </w:r>
            <w:r>
              <w:rPr>
                <w:rStyle w:val="28"/>
                <w:rFonts w:ascii="Times New Roman" w:hAnsi="Times New Roman" w:eastAsia="仿宋" w:cs="Times New Roman"/>
                <w:color w:val="auto"/>
                <w:sz w:val="22"/>
                <w:u w:val="none"/>
              </w:rPr>
              <w:t>有被评估企业所申报的资产和负债明细表</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"操作说明!A896" </w:instrText>
            </w:r>
            <w:r>
              <w:fldChar w:fldCharType="separate"/>
            </w:r>
            <w:r>
              <w:rPr>
                <w:rStyle w:val="28"/>
                <w:rFonts w:ascii="Times New Roman" w:hAnsi="Times New Roman" w:eastAsia="仿宋" w:cs="Times New Roman"/>
                <w:color w:val="auto"/>
                <w:sz w:val="22"/>
                <w:u w:val="none"/>
              </w:rPr>
              <w:t>有资产评估明细表</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8"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"操作说明!A938" </w:instrText>
            </w:r>
            <w:r>
              <w:fldChar w:fldCharType="separate"/>
            </w:r>
            <w:r>
              <w:rPr>
                <w:rStyle w:val="28"/>
                <w:rFonts w:ascii="Times New Roman" w:hAnsi="Times New Roman" w:eastAsia="仿宋" w:cs="Times New Roman"/>
                <w:color w:val="auto"/>
                <w:sz w:val="22"/>
                <w:u w:val="none"/>
              </w:rPr>
              <w:t>采用收益法或者市场法进行企业价值评估，在适当及切实可行的情况下，应当对评估企业的非经营性资产、负债和溢余资产进行单独分析和评估</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8"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"操作说明!A949" </w:instrText>
            </w:r>
            <w:r>
              <w:fldChar w:fldCharType="separate"/>
            </w:r>
            <w:r>
              <w:rPr>
                <w:rStyle w:val="28"/>
                <w:rFonts w:ascii="Times New Roman" w:hAnsi="Times New Roman" w:eastAsia="仿宋" w:cs="Times New Roman"/>
                <w:color w:val="auto"/>
                <w:sz w:val="22"/>
                <w:u w:val="none"/>
              </w:rPr>
              <w:t>具有多种业务类型、涉及多种行业的企业进行评估时，能够根据业务关联性合理界定业务单元，并根据业务单元的具体情况，采用了适宜的财务数据口径进行评估</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⑺</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"操作说明!A958" </w:instrText>
            </w:r>
            <w:r>
              <w:fldChar w:fldCharType="separate"/>
            </w:r>
            <w:r>
              <w:rPr>
                <w:rStyle w:val="28"/>
                <w:rFonts w:ascii="Times New Roman" w:hAnsi="Times New Roman" w:eastAsia="仿宋" w:cs="Times New Roman"/>
                <w:color w:val="auto"/>
                <w:sz w:val="22"/>
                <w:u w:val="none"/>
              </w:rPr>
              <w:t>重要的利用专家工作及相关报告情况</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⑻</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"操作说明!A979" </w:instrText>
            </w:r>
            <w:r>
              <w:fldChar w:fldCharType="separate"/>
            </w:r>
            <w:r>
              <w:rPr>
                <w:rStyle w:val="28"/>
                <w:rFonts w:ascii="Times New Roman" w:hAnsi="Times New Roman" w:eastAsia="仿宋" w:cs="Times New Roman"/>
                <w:color w:val="auto"/>
                <w:sz w:val="22"/>
                <w:u w:val="none"/>
              </w:rPr>
              <w:t>评定估算过程和结果正确</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评估机构内部复核工作</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"操作说明!A992" </w:instrText>
            </w:r>
            <w:r>
              <w:fldChar w:fldCharType="separate"/>
            </w:r>
            <w:r>
              <w:rPr>
                <w:rStyle w:val="28"/>
                <w:rFonts w:ascii="Times New Roman" w:hAnsi="Times New Roman" w:eastAsia="仿宋" w:cs="Times New Roman"/>
                <w:color w:val="auto"/>
                <w:sz w:val="22"/>
                <w:u w:val="none"/>
              </w:rPr>
              <w:t>复核意见记录</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r>
              <w:rPr>
                <w:rFonts w:ascii="Segoe UI Symbol" w:hAnsi="Segoe UI Symbol" w:eastAsia="仿宋" w:cs="Segoe UI Symbol"/>
                <w:kern w:val="0"/>
                <w:sz w:val="22"/>
                <w:lang w:bidi="ar"/>
              </w:rPr>
              <w:t>★</w:t>
            </w:r>
          </w:p>
        </w:tc>
        <w:tc>
          <w:tcPr>
            <w:tcW w:w="3279" w:type="pct"/>
            <w:shd w:val="clear" w:color="auto" w:fill="BFBFB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整理归集评估档案</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"操作说明!A1009" </w:instrText>
            </w:r>
            <w:r>
              <w:fldChar w:fldCharType="separate"/>
            </w:r>
            <w:r>
              <w:rPr>
                <w:rStyle w:val="28"/>
                <w:rFonts w:ascii="Times New Roman" w:hAnsi="Times New Roman" w:eastAsia="仿宋" w:cs="Times New Roman"/>
                <w:color w:val="auto"/>
                <w:sz w:val="22"/>
                <w:u w:val="none"/>
              </w:rPr>
              <w:t>各种形式的归档底稿内容是否完整、一致</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"操作说明!A1029" </w:instrText>
            </w:r>
            <w:r>
              <w:fldChar w:fldCharType="separate"/>
            </w:r>
            <w:r>
              <w:rPr>
                <w:rStyle w:val="28"/>
                <w:rFonts w:ascii="Times New Roman" w:hAnsi="Times New Roman" w:eastAsia="仿宋" w:cs="Times New Roman"/>
                <w:color w:val="auto"/>
                <w:sz w:val="22"/>
                <w:u w:val="none"/>
              </w:rPr>
              <w:t>资产评估档案的归集</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"操作说明!A1042" </w:instrText>
            </w:r>
            <w:r>
              <w:fldChar w:fldCharType="separate"/>
            </w:r>
            <w:r>
              <w:rPr>
                <w:rStyle w:val="28"/>
                <w:rFonts w:ascii="Times New Roman" w:hAnsi="Times New Roman" w:eastAsia="仿宋" w:cs="Times New Roman"/>
                <w:color w:val="auto"/>
                <w:sz w:val="22"/>
                <w:u w:val="none"/>
              </w:rPr>
              <w:t>资产评估档案的管理</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FFFFFF"/>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5" w:hRule="atLeast"/>
        </w:trPr>
        <w:tc>
          <w:tcPr>
            <w:tcW w:w="629" w:type="pct"/>
            <w:vMerge w:val="restar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评估工作底稿规范性和完整性存在问题项数合计：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0分项数合计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1分项数合计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3分（含3分）以下项平均得分</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2分（含2分）以下项平均得分</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7"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4371" w:type="pct"/>
            <w:gridSpan w:val="3"/>
            <w:shd w:val="clear" w:color="auto" w:fill="auto"/>
          </w:tcPr>
          <w:p>
            <w:pPr>
              <w:widowControl/>
              <w:jc w:val="left"/>
              <w:textAlignment w:val="top"/>
              <w:rPr>
                <w:rFonts w:ascii="Times New Roman" w:hAnsi="Times New Roman" w:eastAsia="仿宋" w:cs="Times New Roman"/>
                <w:b/>
                <w:bCs/>
                <w:sz w:val="22"/>
              </w:rPr>
            </w:pPr>
            <w:r>
              <w:rPr>
                <w:rFonts w:ascii="Times New Roman" w:hAnsi="Times New Roman" w:eastAsia="仿宋" w:cs="Times New Roman"/>
                <w:b/>
                <w:bCs/>
                <w:kern w:val="0"/>
                <w:sz w:val="22"/>
                <w:lang w:bidi="ar"/>
              </w:rPr>
              <w:t>评估工作底稿规范性和完整性检查意见（指出存在的主要问题）：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5000" w:type="pct"/>
            <w:gridSpan w:val="4"/>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二、资产评估报告的规范性和完备性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（一）</w:t>
            </w:r>
            <w:r>
              <w:rPr>
                <w:rFonts w:ascii="Segoe UI Symbol" w:hAnsi="Segoe UI Symbol" w:eastAsia="仿宋" w:cs="Segoe UI Symbol"/>
                <w:kern w:val="0"/>
                <w:sz w:val="22"/>
                <w:lang w:bidi="ar"/>
              </w:rPr>
              <w:t>★</w:t>
            </w:r>
          </w:p>
        </w:tc>
        <w:tc>
          <w:tcPr>
            <w:tcW w:w="3279" w:type="pct"/>
            <w:shd w:val="clear" w:color="auto" w:fill="BFBFB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资产评估报告</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9</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"操作说明!A1059" </w:instrText>
            </w:r>
            <w:r>
              <w:fldChar w:fldCharType="separate"/>
            </w:r>
            <w:r>
              <w:rPr>
                <w:rStyle w:val="28"/>
                <w:rFonts w:ascii="Times New Roman" w:hAnsi="Times New Roman" w:eastAsia="仿宋" w:cs="Times New Roman"/>
                <w:color w:val="auto"/>
                <w:sz w:val="22"/>
                <w:u w:val="none"/>
              </w:rPr>
              <w:t>资产评估报告基本内容与格式的规范性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10</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"操作说明!A1080" </w:instrText>
            </w:r>
            <w:r>
              <w:fldChar w:fldCharType="separate"/>
            </w:r>
            <w:r>
              <w:rPr>
                <w:rStyle w:val="28"/>
                <w:rFonts w:ascii="Times New Roman" w:hAnsi="Times New Roman" w:eastAsia="仿宋" w:cs="Times New Roman"/>
                <w:color w:val="auto"/>
                <w:sz w:val="22"/>
                <w:u w:val="none"/>
              </w:rPr>
              <w:t>资产评估报告正文内容的完整性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11</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"操作说明!A1089" </w:instrText>
            </w:r>
            <w:r>
              <w:fldChar w:fldCharType="separate"/>
            </w:r>
            <w:r>
              <w:rPr>
                <w:rStyle w:val="28"/>
                <w:rFonts w:ascii="Times New Roman" w:hAnsi="Times New Roman" w:eastAsia="仿宋" w:cs="Times New Roman"/>
                <w:color w:val="auto"/>
                <w:sz w:val="22"/>
                <w:u w:val="none"/>
              </w:rPr>
              <w:t>委托人、被评估单位和资产评估委托合同约定的其他评估报告使用人</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12</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"操作说明!A1100" </w:instrText>
            </w:r>
            <w:r>
              <w:fldChar w:fldCharType="separate"/>
            </w:r>
            <w:r>
              <w:rPr>
                <w:rStyle w:val="28"/>
                <w:rFonts w:ascii="Times New Roman" w:hAnsi="Times New Roman" w:eastAsia="仿宋" w:cs="Times New Roman"/>
                <w:color w:val="auto"/>
                <w:sz w:val="22"/>
                <w:u w:val="none"/>
              </w:rPr>
              <w:t>评估目的</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13</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"操作说明!A1110" </w:instrText>
            </w:r>
            <w:r>
              <w:fldChar w:fldCharType="separate"/>
            </w:r>
            <w:r>
              <w:rPr>
                <w:rStyle w:val="28"/>
                <w:rFonts w:ascii="Times New Roman" w:hAnsi="Times New Roman" w:eastAsia="仿宋" w:cs="Times New Roman"/>
                <w:color w:val="auto"/>
                <w:sz w:val="22"/>
                <w:u w:val="none"/>
              </w:rPr>
              <w:t>评估对象和评估范围</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14</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"操作说明!A1126" </w:instrText>
            </w:r>
            <w:r>
              <w:fldChar w:fldCharType="separate"/>
            </w:r>
            <w:r>
              <w:rPr>
                <w:rStyle w:val="28"/>
                <w:rFonts w:ascii="Times New Roman" w:hAnsi="Times New Roman" w:eastAsia="仿宋" w:cs="Times New Roman"/>
                <w:color w:val="auto"/>
                <w:sz w:val="22"/>
                <w:u w:val="none"/>
              </w:rPr>
              <w:t>价值类型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15</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"操作说明!A1137" </w:instrText>
            </w:r>
            <w:r>
              <w:fldChar w:fldCharType="separate"/>
            </w:r>
            <w:r>
              <w:rPr>
                <w:rStyle w:val="28"/>
                <w:rFonts w:ascii="Times New Roman" w:hAnsi="Times New Roman" w:eastAsia="仿宋" w:cs="Times New Roman"/>
                <w:color w:val="auto"/>
                <w:sz w:val="22"/>
                <w:u w:val="none"/>
              </w:rPr>
              <w:t>评估基准日</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16</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"操作说明!A1146" </w:instrText>
            </w:r>
            <w:r>
              <w:fldChar w:fldCharType="separate"/>
            </w:r>
            <w:r>
              <w:rPr>
                <w:rStyle w:val="28"/>
                <w:rFonts w:ascii="Times New Roman" w:hAnsi="Times New Roman" w:eastAsia="仿宋" w:cs="Times New Roman"/>
                <w:color w:val="auto"/>
                <w:sz w:val="22"/>
                <w:u w:val="none"/>
              </w:rPr>
              <w:t>评估依据</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17</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"操作说明!A1164" </w:instrText>
            </w:r>
            <w:r>
              <w:fldChar w:fldCharType="separate"/>
            </w:r>
            <w:r>
              <w:rPr>
                <w:rStyle w:val="28"/>
                <w:rFonts w:ascii="Times New Roman" w:hAnsi="Times New Roman" w:eastAsia="仿宋" w:cs="Times New Roman"/>
                <w:color w:val="auto"/>
                <w:sz w:val="22"/>
                <w:u w:val="none"/>
              </w:rPr>
              <w:t>评估方法</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"操作说明!A1164" </w:instrText>
            </w:r>
            <w:r>
              <w:fldChar w:fldCharType="separate"/>
            </w:r>
            <w:r>
              <w:rPr>
                <w:rStyle w:val="28"/>
                <w:rFonts w:ascii="Times New Roman" w:hAnsi="Times New Roman" w:eastAsia="仿宋" w:cs="Times New Roman"/>
                <w:color w:val="auto"/>
                <w:sz w:val="22"/>
                <w:u w:val="none"/>
              </w:rPr>
              <w:t>选择评估方法的过程和依据，即对收益法、市场法和成本法（资产基础法）三种基本评估方法适用性的分析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"操作说明!A1164" </w:instrText>
            </w:r>
            <w:r>
              <w:fldChar w:fldCharType="separate"/>
            </w:r>
            <w:r>
              <w:rPr>
                <w:rStyle w:val="28"/>
                <w:rFonts w:ascii="Times New Roman" w:hAnsi="Times New Roman" w:eastAsia="仿宋" w:cs="Times New Roman"/>
                <w:color w:val="auto"/>
                <w:sz w:val="22"/>
                <w:u w:val="none"/>
              </w:rPr>
              <w:t>说明具体评估方法的技术思路和采用的数学模型</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"操作说明!A1164" </w:instrText>
            </w:r>
            <w:r>
              <w:fldChar w:fldCharType="separate"/>
            </w:r>
            <w:r>
              <w:rPr>
                <w:rStyle w:val="28"/>
                <w:rFonts w:ascii="Times New Roman" w:hAnsi="Times New Roman" w:eastAsia="仿宋" w:cs="Times New Roman"/>
                <w:color w:val="auto"/>
                <w:sz w:val="22"/>
                <w:u w:val="none"/>
              </w:rPr>
              <w:t>最终评估结论确定的方式（或方法）</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18</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"操作说明!A1176" </w:instrText>
            </w:r>
            <w:r>
              <w:fldChar w:fldCharType="separate"/>
            </w:r>
            <w:r>
              <w:rPr>
                <w:rStyle w:val="28"/>
                <w:rFonts w:ascii="Times New Roman" w:hAnsi="Times New Roman" w:eastAsia="仿宋" w:cs="Times New Roman"/>
                <w:color w:val="auto"/>
                <w:sz w:val="22"/>
                <w:u w:val="none"/>
              </w:rPr>
              <w:t>评估程序实施的过程和情况</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19</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"操作说明!A1186" </w:instrText>
            </w:r>
            <w:r>
              <w:fldChar w:fldCharType="separate"/>
            </w:r>
            <w:r>
              <w:rPr>
                <w:rStyle w:val="28"/>
                <w:rFonts w:ascii="Times New Roman" w:hAnsi="Times New Roman" w:eastAsia="仿宋" w:cs="Times New Roman"/>
                <w:color w:val="auto"/>
                <w:sz w:val="22"/>
                <w:u w:val="none"/>
              </w:rPr>
              <w:t>评估假设</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20</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"操作说明!A1197" </w:instrText>
            </w:r>
            <w:r>
              <w:fldChar w:fldCharType="separate"/>
            </w:r>
            <w:r>
              <w:rPr>
                <w:rStyle w:val="28"/>
                <w:rFonts w:ascii="Times New Roman" w:hAnsi="Times New Roman" w:eastAsia="仿宋" w:cs="Times New Roman"/>
                <w:color w:val="auto"/>
                <w:sz w:val="22"/>
                <w:u w:val="none"/>
              </w:rPr>
              <w:t>评估结论</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21</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特别事项说明</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"操作说明!A1211" </w:instrText>
            </w:r>
            <w:r>
              <w:fldChar w:fldCharType="separate"/>
            </w:r>
            <w:r>
              <w:rPr>
                <w:rStyle w:val="28"/>
                <w:rFonts w:ascii="Times New Roman" w:hAnsi="Times New Roman" w:eastAsia="仿宋" w:cs="Times New Roman"/>
                <w:color w:val="auto"/>
                <w:sz w:val="22"/>
                <w:u w:val="none"/>
              </w:rPr>
              <w:t>引用其他机构出具报告结论的情况，并说明承担引用不当的相关责任</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"操作说明!A1238" </w:instrText>
            </w:r>
            <w:r>
              <w:fldChar w:fldCharType="separate"/>
            </w:r>
            <w:r>
              <w:rPr>
                <w:rStyle w:val="28"/>
                <w:rFonts w:ascii="Times New Roman" w:hAnsi="Times New Roman" w:eastAsia="仿宋" w:cs="Times New Roman"/>
                <w:color w:val="auto"/>
                <w:sz w:val="22"/>
                <w:u w:val="none"/>
              </w:rPr>
              <w:t>权属资料不全面或者存在瑕疵的情形</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"操作说明!A1249" </w:instrText>
            </w:r>
            <w:r>
              <w:fldChar w:fldCharType="separate"/>
            </w:r>
            <w:r>
              <w:rPr>
                <w:rStyle w:val="28"/>
                <w:rFonts w:ascii="Times New Roman" w:hAnsi="Times New Roman" w:eastAsia="仿宋" w:cs="Times New Roman"/>
                <w:color w:val="auto"/>
                <w:sz w:val="22"/>
                <w:u w:val="none"/>
              </w:rPr>
              <w:t>评估程序受限的有关情况、评估机构采取的弥补措施及对评估结论影响的情况</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"操作说明!A1261" </w:instrText>
            </w:r>
            <w:r>
              <w:fldChar w:fldCharType="separate"/>
            </w:r>
            <w:r>
              <w:rPr>
                <w:rStyle w:val="28"/>
                <w:rFonts w:ascii="Times New Roman" w:hAnsi="Times New Roman" w:eastAsia="仿宋" w:cs="Times New Roman"/>
                <w:color w:val="auto"/>
                <w:sz w:val="22"/>
                <w:u w:val="none"/>
              </w:rPr>
              <w:t>委托人未提供的其他关键资料情况</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"操作说明!A1272" </w:instrText>
            </w:r>
            <w:r>
              <w:fldChar w:fldCharType="separate"/>
            </w:r>
            <w:r>
              <w:rPr>
                <w:rStyle w:val="28"/>
                <w:rFonts w:ascii="Times New Roman" w:hAnsi="Times New Roman" w:eastAsia="仿宋" w:cs="Times New Roman"/>
                <w:color w:val="auto"/>
                <w:sz w:val="22"/>
                <w:u w:val="none"/>
              </w:rPr>
              <w:t>评估基准日存在的法律、经济等未决事项</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"操作说明!A1283" </w:instrText>
            </w:r>
            <w:r>
              <w:fldChar w:fldCharType="separate"/>
            </w:r>
            <w:r>
              <w:rPr>
                <w:rStyle w:val="28"/>
                <w:rFonts w:ascii="Times New Roman" w:hAnsi="Times New Roman" w:eastAsia="仿宋" w:cs="Times New Roman"/>
                <w:color w:val="auto"/>
                <w:sz w:val="22"/>
                <w:u w:val="none"/>
              </w:rPr>
              <w:t>担保、租赁及其或有负债（或有资产）等事项的性质、金额及与评估对象的关系</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"操作说明!A1294" </w:instrText>
            </w:r>
            <w:r>
              <w:fldChar w:fldCharType="separate"/>
            </w:r>
            <w:r>
              <w:rPr>
                <w:rStyle w:val="28"/>
                <w:rFonts w:ascii="Times New Roman" w:hAnsi="Times New Roman" w:eastAsia="仿宋" w:cs="Times New Roman"/>
                <w:color w:val="auto"/>
                <w:sz w:val="22"/>
                <w:u w:val="none"/>
              </w:rPr>
              <w:t>评估基准日至资产评估报告日之间可能对评估结论产生影响的事项</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"操作说明!A1305" </w:instrText>
            </w:r>
            <w:r>
              <w:fldChar w:fldCharType="separate"/>
            </w:r>
            <w:r>
              <w:rPr>
                <w:rStyle w:val="28"/>
                <w:rFonts w:ascii="Times New Roman" w:hAnsi="Times New Roman" w:eastAsia="仿宋" w:cs="Times New Roman"/>
                <w:color w:val="auto"/>
                <w:sz w:val="22"/>
                <w:u w:val="none"/>
              </w:rPr>
              <w:t>本次资产评估对应的经济行为中，可能对评估结论产生重大影响的瑕疵情形</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22</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"操作说明!A1316" </w:instrText>
            </w:r>
            <w:r>
              <w:fldChar w:fldCharType="separate"/>
            </w:r>
            <w:r>
              <w:rPr>
                <w:rStyle w:val="28"/>
                <w:rFonts w:ascii="Times New Roman" w:hAnsi="Times New Roman" w:eastAsia="仿宋" w:cs="Times New Roman"/>
                <w:color w:val="auto"/>
                <w:sz w:val="22"/>
                <w:u w:val="none"/>
              </w:rPr>
              <w:t>资产评估报告使用限制说明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23</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"操作说明!A1326" </w:instrText>
            </w:r>
            <w:r>
              <w:fldChar w:fldCharType="separate"/>
            </w:r>
            <w:r>
              <w:rPr>
                <w:rStyle w:val="28"/>
                <w:rFonts w:ascii="Times New Roman" w:hAnsi="Times New Roman" w:eastAsia="仿宋" w:cs="Times New Roman"/>
                <w:color w:val="auto"/>
                <w:sz w:val="22"/>
                <w:u w:val="none"/>
              </w:rPr>
              <w:t>资产评估报告日</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24</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"操作说明!A1334" </w:instrText>
            </w:r>
            <w:r>
              <w:fldChar w:fldCharType="separate"/>
            </w:r>
            <w:r>
              <w:rPr>
                <w:rStyle w:val="28"/>
                <w:rFonts w:ascii="Times New Roman" w:hAnsi="Times New Roman" w:eastAsia="仿宋" w:cs="Times New Roman"/>
                <w:color w:val="auto"/>
                <w:sz w:val="22"/>
                <w:u w:val="none"/>
              </w:rPr>
              <w:t>签字盖章</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25</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"操作说明!A1343" </w:instrText>
            </w:r>
            <w:r>
              <w:fldChar w:fldCharType="separate"/>
            </w:r>
            <w:r>
              <w:rPr>
                <w:rStyle w:val="28"/>
                <w:rFonts w:ascii="Times New Roman" w:hAnsi="Times New Roman" w:eastAsia="仿宋" w:cs="Times New Roman"/>
                <w:color w:val="auto"/>
                <w:sz w:val="22"/>
                <w:u w:val="none"/>
              </w:rPr>
              <w:t>资产评估报告附件</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（二）</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评估说明</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26</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"操作说明!A1357" </w:instrText>
            </w:r>
            <w:r>
              <w:fldChar w:fldCharType="separate"/>
            </w:r>
            <w:r>
              <w:rPr>
                <w:rStyle w:val="28"/>
                <w:rFonts w:ascii="Times New Roman" w:hAnsi="Times New Roman" w:eastAsia="仿宋" w:cs="Times New Roman"/>
                <w:color w:val="auto"/>
                <w:sz w:val="22"/>
                <w:u w:val="none"/>
              </w:rPr>
              <w:t>《企业关于进行资产评估有关事项的说明》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27</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"操作说明!A1365" </w:instrText>
            </w:r>
            <w:r>
              <w:fldChar w:fldCharType="separate"/>
            </w:r>
            <w:r>
              <w:rPr>
                <w:rStyle w:val="28"/>
                <w:rFonts w:ascii="Times New Roman" w:hAnsi="Times New Roman" w:eastAsia="仿宋" w:cs="Times New Roman"/>
                <w:color w:val="auto"/>
                <w:sz w:val="22"/>
                <w:u w:val="none"/>
              </w:rPr>
              <w:t>评估对象与评估范围说明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28</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"操作说明!A1382" </w:instrText>
            </w:r>
            <w:r>
              <w:fldChar w:fldCharType="separate"/>
            </w:r>
            <w:r>
              <w:rPr>
                <w:rStyle w:val="28"/>
                <w:rFonts w:ascii="Times New Roman" w:hAnsi="Times New Roman" w:eastAsia="仿宋" w:cs="Times New Roman"/>
                <w:color w:val="auto"/>
                <w:sz w:val="22"/>
                <w:u w:val="none"/>
              </w:rPr>
              <w:t>资产核实情况总体说明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29</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"操作说明!A1392" </w:instrText>
            </w:r>
            <w:r>
              <w:fldChar w:fldCharType="separate"/>
            </w:r>
            <w:r>
              <w:rPr>
                <w:rStyle w:val="28"/>
                <w:rFonts w:ascii="Times New Roman" w:hAnsi="Times New Roman" w:eastAsia="仿宋" w:cs="Times New Roman"/>
                <w:color w:val="auto"/>
                <w:sz w:val="22"/>
                <w:u w:val="none"/>
              </w:rPr>
              <w:t>资产基础法评估说明</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"操作说明!A1401" </w:instrText>
            </w:r>
            <w:r>
              <w:fldChar w:fldCharType="separate"/>
            </w:r>
            <w:r>
              <w:rPr>
                <w:rStyle w:val="28"/>
                <w:rFonts w:ascii="Times New Roman" w:hAnsi="Times New Roman" w:eastAsia="仿宋" w:cs="Times New Roman"/>
                <w:color w:val="auto"/>
                <w:sz w:val="22"/>
                <w:u w:val="none"/>
              </w:rPr>
              <w:t>流动资产（非实物部分），负债的清查核实方法、过程结论；                                                                                   评估具体方法、过程、结论</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"操作说明!A1409" </w:instrText>
            </w:r>
            <w:r>
              <w:fldChar w:fldCharType="separate"/>
            </w:r>
            <w:r>
              <w:rPr>
                <w:rStyle w:val="28"/>
                <w:rFonts w:ascii="Times New Roman" w:hAnsi="Times New Roman" w:eastAsia="仿宋" w:cs="Times New Roman"/>
                <w:color w:val="auto"/>
                <w:sz w:val="22"/>
                <w:u w:val="none"/>
              </w:rPr>
              <w:t>存货的清查方法、过程和结论；                                               评估方法、参数的确定和评估结论</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"操作说明!A1418" </w:instrText>
            </w:r>
            <w:r>
              <w:fldChar w:fldCharType="separate"/>
            </w:r>
            <w:r>
              <w:rPr>
                <w:rStyle w:val="28"/>
                <w:rFonts w:ascii="Times New Roman" w:hAnsi="Times New Roman" w:eastAsia="仿宋" w:cs="Times New Roman"/>
                <w:color w:val="auto"/>
                <w:sz w:val="22"/>
                <w:u w:val="none"/>
              </w:rPr>
              <w:t>长期股权投资的清查核实方法和结论；                                                                                                                       具体的评估方法（根据具体资产、盈利状况及其对评估对象价值的影响程度等因素，合理确定是否进行单独评估）</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"操作说明!A1427" </w:instrText>
            </w:r>
            <w:r>
              <w:fldChar w:fldCharType="separate"/>
            </w:r>
            <w:r>
              <w:rPr>
                <w:rStyle w:val="28"/>
                <w:rFonts w:ascii="Times New Roman" w:hAnsi="Times New Roman" w:eastAsia="仿宋" w:cs="Times New Roman"/>
                <w:color w:val="auto"/>
                <w:sz w:val="22"/>
                <w:u w:val="none"/>
              </w:rPr>
              <w:t>投资性房地产的清查核实方法、过程、结论；                                   具体评估方法和评估参数的确定以及评估结论</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"操作说明!A1436" </w:instrText>
            </w:r>
            <w:r>
              <w:fldChar w:fldCharType="separate"/>
            </w:r>
            <w:r>
              <w:rPr>
                <w:rStyle w:val="28"/>
                <w:rFonts w:ascii="Times New Roman" w:hAnsi="Times New Roman" w:eastAsia="仿宋" w:cs="Times New Roman"/>
                <w:color w:val="auto"/>
                <w:sz w:val="22"/>
                <w:u w:val="none"/>
              </w:rPr>
              <w:t>固定资产的清查核实方法、过程、结论；                                         具体评估方法、评估参数确定以及评估结论；                                    评估举例参数确定的合理性</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"操作说明!A1446" </w:instrText>
            </w:r>
            <w:r>
              <w:fldChar w:fldCharType="separate"/>
            </w:r>
            <w:r>
              <w:rPr>
                <w:rStyle w:val="28"/>
                <w:rFonts w:ascii="Times New Roman" w:hAnsi="Times New Roman" w:eastAsia="仿宋" w:cs="Times New Roman"/>
                <w:color w:val="auto"/>
                <w:sz w:val="22"/>
                <w:u w:val="none"/>
              </w:rPr>
              <w:t>在建工程的清查核实方法；在建工程情况的说明；具体评估方法</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r>
              <w:rPr>
                <w:rFonts w:ascii="Segoe UI Symbol" w:hAnsi="Segoe UI Symbol" w:eastAsia="仿宋" w:cs="Segoe UI Symbol"/>
                <w:kern w:val="0"/>
                <w:sz w:val="22"/>
                <w:lang w:bidi="ar"/>
              </w:rPr>
              <w:t>★</w:t>
            </w:r>
          </w:p>
        </w:tc>
        <w:tc>
          <w:tcPr>
            <w:tcW w:w="3279" w:type="pct"/>
            <w:shd w:val="clear" w:color="auto" w:fill="BFBFB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土地使用评估说明</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"操作说明!A1456" </w:instrText>
            </w:r>
            <w:r>
              <w:fldChar w:fldCharType="separate"/>
            </w:r>
            <w:r>
              <w:rPr>
                <w:rStyle w:val="28"/>
                <w:rFonts w:ascii="Times New Roman" w:hAnsi="Times New Roman" w:eastAsia="仿宋" w:cs="Times New Roman"/>
                <w:color w:val="auto"/>
                <w:sz w:val="22"/>
                <w:u w:val="none"/>
              </w:rPr>
              <w:t>自行评估情形下的评估说明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"操作说明!A1465" </w:instrText>
            </w:r>
            <w:r>
              <w:fldChar w:fldCharType="separate"/>
            </w:r>
            <w:r>
              <w:rPr>
                <w:rStyle w:val="28"/>
                <w:rFonts w:ascii="Times New Roman" w:hAnsi="Times New Roman" w:eastAsia="仿宋" w:cs="Times New Roman"/>
                <w:color w:val="auto"/>
                <w:sz w:val="22"/>
                <w:u w:val="none"/>
              </w:rPr>
              <w:t>引用结论情形下的评估说明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r>
              <w:rPr>
                <w:rFonts w:ascii="Segoe UI Symbol" w:hAnsi="Segoe UI Symbol" w:eastAsia="仿宋" w:cs="Segoe UI Symbol"/>
                <w:kern w:val="0"/>
                <w:sz w:val="22"/>
                <w:lang w:bidi="ar"/>
              </w:rPr>
              <w:t>★</w:t>
            </w:r>
          </w:p>
        </w:tc>
        <w:tc>
          <w:tcPr>
            <w:tcW w:w="3279" w:type="pct"/>
            <w:shd w:val="clear" w:color="auto" w:fill="BFBFB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矿业权评估说明</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"操作说明!A1480" </w:instrText>
            </w:r>
            <w:r>
              <w:fldChar w:fldCharType="separate"/>
            </w:r>
            <w:r>
              <w:rPr>
                <w:rStyle w:val="28"/>
                <w:rFonts w:ascii="Times New Roman" w:hAnsi="Times New Roman" w:eastAsia="仿宋" w:cs="Times New Roman"/>
                <w:color w:val="auto"/>
                <w:sz w:val="22"/>
                <w:u w:val="none"/>
              </w:rPr>
              <w:t>自行评估情形下的评估说明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FFFFFF"/>
            <w:vAlign w:val="center"/>
          </w:tcPr>
          <w:p>
            <w:pPr>
              <w:widowControl/>
              <w:textAlignment w:val="center"/>
              <w:rPr>
                <w:rFonts w:ascii="Times New Roman" w:hAnsi="Times New Roman" w:eastAsia="仿宋" w:cs="Times New Roman"/>
                <w:sz w:val="22"/>
              </w:rPr>
            </w:pPr>
            <w:r>
              <w:fldChar w:fldCharType="begin"/>
            </w:r>
            <w:r>
              <w:instrText xml:space="preserve"> HYPERLINK \l "操作说明!A1489" </w:instrText>
            </w:r>
            <w:r>
              <w:fldChar w:fldCharType="separate"/>
            </w:r>
            <w:r>
              <w:rPr>
                <w:rStyle w:val="28"/>
                <w:rFonts w:ascii="Times New Roman" w:hAnsi="Times New Roman" w:eastAsia="仿宋" w:cs="Times New Roman"/>
                <w:color w:val="auto"/>
                <w:sz w:val="22"/>
                <w:u w:val="none"/>
              </w:rPr>
              <w:t>引用结论情形下的评估说明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（9）</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"操作说明!A1502" </w:instrText>
            </w:r>
            <w:r>
              <w:fldChar w:fldCharType="separate"/>
            </w:r>
            <w:r>
              <w:rPr>
                <w:rStyle w:val="28"/>
                <w:rFonts w:ascii="Times New Roman" w:hAnsi="Times New Roman" w:eastAsia="仿宋" w:cs="Times New Roman"/>
                <w:color w:val="auto"/>
                <w:sz w:val="22"/>
                <w:u w:val="none"/>
              </w:rPr>
              <w:t>其他资产和负债的评估说明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30</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收益法评估说明</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"操作说明!A1511" </w:instrText>
            </w:r>
            <w:r>
              <w:fldChar w:fldCharType="separate"/>
            </w:r>
            <w:r>
              <w:rPr>
                <w:rStyle w:val="28"/>
                <w:rFonts w:ascii="Times New Roman" w:hAnsi="Times New Roman" w:eastAsia="仿宋" w:cs="Times New Roman"/>
                <w:color w:val="auto"/>
                <w:sz w:val="22"/>
                <w:u w:val="none"/>
              </w:rPr>
              <w:t>说明评估对象，即企业整体价值、股东全部权益和股东部分权益</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"操作说明!A1523" </w:instrText>
            </w:r>
            <w:r>
              <w:fldChar w:fldCharType="separate"/>
            </w:r>
            <w:r>
              <w:rPr>
                <w:rStyle w:val="28"/>
                <w:rFonts w:ascii="Times New Roman" w:hAnsi="Times New Roman" w:eastAsia="仿宋" w:cs="Times New Roman"/>
                <w:color w:val="auto"/>
                <w:sz w:val="22"/>
                <w:u w:val="none"/>
              </w:rPr>
              <w:t>收益法的应用前提及选择的理由和依据</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"操作说明!A1540" </w:instrText>
            </w:r>
            <w:r>
              <w:fldChar w:fldCharType="separate"/>
            </w:r>
            <w:r>
              <w:rPr>
                <w:rStyle w:val="28"/>
                <w:rFonts w:ascii="Times New Roman" w:hAnsi="Times New Roman" w:eastAsia="仿宋" w:cs="Times New Roman"/>
                <w:color w:val="auto"/>
                <w:sz w:val="22"/>
                <w:u w:val="none"/>
              </w:rPr>
              <w:t>收益预测的假设条件</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影响企业生产经营的经济因素、行业状况、业务、资产及财务分析</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"操作说明!A1563" </w:instrText>
            </w:r>
            <w:r>
              <w:fldChar w:fldCharType="separate"/>
            </w:r>
            <w:r>
              <w:rPr>
                <w:rStyle w:val="28"/>
                <w:rFonts w:ascii="Times New Roman" w:hAnsi="Times New Roman" w:eastAsia="仿宋" w:cs="Times New Roman"/>
                <w:color w:val="auto"/>
                <w:sz w:val="22"/>
                <w:u w:val="none"/>
              </w:rPr>
              <w:t>影响企业经营的宏观、区域经济因素分析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"操作说明!A1589" </w:instrText>
            </w:r>
            <w:r>
              <w:fldChar w:fldCharType="separate"/>
            </w:r>
            <w:r>
              <w:rPr>
                <w:rStyle w:val="28"/>
                <w:rFonts w:ascii="Times New Roman" w:hAnsi="Times New Roman" w:eastAsia="仿宋" w:cs="Times New Roman"/>
                <w:color w:val="auto"/>
                <w:sz w:val="22"/>
                <w:u w:val="none"/>
              </w:rPr>
              <w:t>所在行业现状与发展前景分析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"操作说明!A1617" </w:instrText>
            </w:r>
            <w:r>
              <w:fldChar w:fldCharType="separate"/>
            </w:r>
            <w:r>
              <w:rPr>
                <w:rStyle w:val="28"/>
                <w:rFonts w:ascii="Times New Roman" w:hAnsi="Times New Roman" w:eastAsia="仿宋" w:cs="Times New Roman"/>
                <w:color w:val="auto"/>
                <w:sz w:val="22"/>
                <w:u w:val="none"/>
              </w:rPr>
              <w:t>企业的业务情况分析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"操作说明!A1646" </w:instrText>
            </w:r>
            <w:r>
              <w:fldChar w:fldCharType="separate"/>
            </w:r>
            <w:r>
              <w:rPr>
                <w:rStyle w:val="28"/>
                <w:rFonts w:ascii="Times New Roman" w:hAnsi="Times New Roman" w:eastAsia="仿宋" w:cs="Times New Roman"/>
                <w:color w:val="auto"/>
                <w:sz w:val="22"/>
                <w:u w:val="none"/>
              </w:rPr>
              <w:t>企业的资产、财务分析和调整情况分析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评估计算及分析过程</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"操作说明!A1673" </w:instrText>
            </w:r>
            <w:r>
              <w:fldChar w:fldCharType="separate"/>
            </w:r>
            <w:r>
              <w:rPr>
                <w:rStyle w:val="28"/>
                <w:rFonts w:ascii="Times New Roman" w:hAnsi="Times New Roman" w:eastAsia="仿宋" w:cs="Times New Roman"/>
                <w:color w:val="auto"/>
                <w:sz w:val="22"/>
                <w:u w:val="none"/>
              </w:rPr>
              <w:t>收益模型的选取</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"操作说明!A1689" </w:instrText>
            </w:r>
            <w:r>
              <w:fldChar w:fldCharType="separate"/>
            </w:r>
            <w:r>
              <w:rPr>
                <w:rStyle w:val="28"/>
                <w:rFonts w:ascii="Times New Roman" w:hAnsi="Times New Roman" w:eastAsia="仿宋" w:cs="Times New Roman"/>
                <w:color w:val="auto"/>
                <w:sz w:val="22"/>
                <w:u w:val="none"/>
              </w:rPr>
              <w:t>收益年限的确定</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"操作说明!A1701" </w:instrText>
            </w:r>
            <w:r>
              <w:fldChar w:fldCharType="separate"/>
            </w:r>
            <w:r>
              <w:rPr>
                <w:rStyle w:val="28"/>
                <w:rFonts w:ascii="Times New Roman" w:hAnsi="Times New Roman" w:eastAsia="仿宋" w:cs="Times New Roman"/>
                <w:color w:val="auto"/>
                <w:sz w:val="22"/>
                <w:u w:val="none"/>
              </w:rPr>
              <w:t>未来收益的确定（营业收入、成本费用；投资收益；资本性支出；营运资金预测、营运资金增加额的确定）</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"操作说明!A1730" </w:instrText>
            </w:r>
            <w:r>
              <w:fldChar w:fldCharType="separate"/>
            </w:r>
            <w:r>
              <w:rPr>
                <w:rStyle w:val="28"/>
                <w:rFonts w:ascii="Times New Roman" w:hAnsi="Times New Roman" w:eastAsia="仿宋" w:cs="Times New Roman"/>
                <w:color w:val="auto"/>
                <w:sz w:val="22"/>
                <w:u w:val="none"/>
              </w:rPr>
              <w:t>折现率确定</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评估值测算过程与结论</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"操作说明!A1747" </w:instrText>
            </w:r>
            <w:r>
              <w:fldChar w:fldCharType="separate"/>
            </w:r>
            <w:r>
              <w:rPr>
                <w:rStyle w:val="28"/>
                <w:rFonts w:ascii="Times New Roman" w:hAnsi="Times New Roman" w:eastAsia="仿宋" w:cs="Times New Roman"/>
                <w:color w:val="auto"/>
                <w:sz w:val="22"/>
                <w:u w:val="none"/>
              </w:rPr>
              <w:t>列表说明公式中的各参数值以及测算过程，列示评估结论</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"操作说明!A1760" </w:instrText>
            </w:r>
            <w:r>
              <w:fldChar w:fldCharType="separate"/>
            </w:r>
            <w:r>
              <w:rPr>
                <w:rStyle w:val="28"/>
                <w:rFonts w:ascii="Times New Roman" w:hAnsi="Times New Roman" w:eastAsia="仿宋" w:cs="Times New Roman"/>
                <w:color w:val="auto"/>
                <w:sz w:val="22"/>
                <w:u w:val="none"/>
              </w:rPr>
              <w:t>终值的估算</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"操作说明!A1771" </w:instrText>
            </w:r>
            <w:r>
              <w:fldChar w:fldCharType="separate"/>
            </w:r>
            <w:r>
              <w:rPr>
                <w:rStyle w:val="28"/>
                <w:rFonts w:ascii="Times New Roman" w:hAnsi="Times New Roman" w:eastAsia="仿宋" w:cs="Times New Roman"/>
                <w:color w:val="auto"/>
                <w:sz w:val="22"/>
                <w:u w:val="none"/>
              </w:rPr>
              <w:t>其他资产和负债的评估（非收益性/经营性资产和负债）价值</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"操作说明!A1784" </w:instrText>
            </w:r>
            <w:r>
              <w:fldChar w:fldCharType="separate"/>
            </w:r>
            <w:r>
              <w:rPr>
                <w:rStyle w:val="28"/>
                <w:rFonts w:ascii="Times New Roman" w:hAnsi="Times New Roman" w:eastAsia="仿宋" w:cs="Times New Roman"/>
                <w:color w:val="auto"/>
                <w:sz w:val="22"/>
                <w:u w:val="none"/>
              </w:rPr>
              <w:t>收益法测算表格（是否齐全）</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31</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市场法评估说明</w:t>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3"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"操作说明!A1796" </w:instrText>
            </w:r>
            <w:r>
              <w:fldChar w:fldCharType="separate"/>
            </w:r>
            <w:r>
              <w:rPr>
                <w:rStyle w:val="28"/>
                <w:rFonts w:ascii="Times New Roman" w:hAnsi="Times New Roman" w:eastAsia="仿宋" w:cs="Times New Roman"/>
                <w:color w:val="auto"/>
                <w:sz w:val="22"/>
                <w:u w:val="none"/>
              </w:rPr>
              <w:t>评估对象（企业整体价值、股东权益价值）明示；                             市场法应用前提及选择的理由和依据</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"操作说明!A1822" </w:instrText>
            </w:r>
            <w:r>
              <w:fldChar w:fldCharType="separate"/>
            </w:r>
            <w:r>
              <w:rPr>
                <w:rStyle w:val="28"/>
                <w:rFonts w:ascii="Times New Roman" w:hAnsi="Times New Roman" w:eastAsia="仿宋" w:cs="Times New Roman"/>
                <w:color w:val="auto"/>
                <w:sz w:val="22"/>
                <w:u w:val="none"/>
              </w:rPr>
              <w:t>基本步骤说明</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"操作说明!A1852" </w:instrText>
            </w:r>
            <w:r>
              <w:fldChar w:fldCharType="separate"/>
            </w:r>
            <w:r>
              <w:rPr>
                <w:rStyle w:val="28"/>
                <w:rFonts w:ascii="Times New Roman" w:hAnsi="Times New Roman" w:eastAsia="仿宋" w:cs="Times New Roman"/>
                <w:color w:val="auto"/>
                <w:sz w:val="22"/>
                <w:u w:val="none"/>
              </w:rPr>
              <w:t>影响企业生产经营的经济因素、行业状况、业务、资产及财务分析</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"操作说明!A1866" </w:instrText>
            </w:r>
            <w:r>
              <w:fldChar w:fldCharType="separate"/>
            </w:r>
            <w:r>
              <w:rPr>
                <w:rStyle w:val="28"/>
                <w:rFonts w:ascii="Times New Roman" w:hAnsi="Times New Roman" w:eastAsia="仿宋" w:cs="Times New Roman"/>
                <w:color w:val="auto"/>
                <w:sz w:val="22"/>
                <w:u w:val="none"/>
              </w:rPr>
              <w:t>影响企业经营的宏观、区域经济因素分析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"操作说明!A1888" </w:instrText>
            </w:r>
            <w:r>
              <w:fldChar w:fldCharType="separate"/>
            </w:r>
            <w:r>
              <w:rPr>
                <w:rStyle w:val="28"/>
                <w:rFonts w:ascii="Times New Roman" w:hAnsi="Times New Roman" w:eastAsia="仿宋" w:cs="Times New Roman"/>
                <w:color w:val="auto"/>
                <w:sz w:val="22"/>
                <w:u w:val="none"/>
              </w:rPr>
              <w:t>所在行业现状与发展前景分析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"操作说明!A1914" </w:instrText>
            </w:r>
            <w:r>
              <w:fldChar w:fldCharType="separate"/>
            </w:r>
            <w:r>
              <w:rPr>
                <w:rStyle w:val="28"/>
                <w:rFonts w:ascii="Times New Roman" w:hAnsi="Times New Roman" w:eastAsia="仿宋" w:cs="Times New Roman"/>
                <w:color w:val="auto"/>
                <w:sz w:val="22"/>
                <w:u w:val="none"/>
              </w:rPr>
              <w:t>企业的业务情况分析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"操作说明!A1941" </w:instrText>
            </w:r>
            <w:r>
              <w:fldChar w:fldCharType="separate"/>
            </w:r>
            <w:r>
              <w:rPr>
                <w:rStyle w:val="28"/>
                <w:rFonts w:ascii="Times New Roman" w:hAnsi="Times New Roman" w:eastAsia="仿宋" w:cs="Times New Roman"/>
                <w:color w:val="auto"/>
                <w:sz w:val="22"/>
                <w:u w:val="none"/>
              </w:rPr>
              <w:t>企业的资产、财务分析和调整情况分析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"操作说明!A1964" </w:instrText>
            </w:r>
            <w:r>
              <w:fldChar w:fldCharType="separate"/>
            </w:r>
            <w:r>
              <w:rPr>
                <w:rStyle w:val="28"/>
                <w:rFonts w:ascii="Times New Roman" w:hAnsi="Times New Roman" w:eastAsia="仿宋" w:cs="Times New Roman"/>
                <w:color w:val="auto"/>
                <w:sz w:val="22"/>
                <w:u w:val="none"/>
              </w:rPr>
              <w:t>上市公司和交易案例的选择及与评估对象的可比性分析。</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p>
        </w:tc>
        <w:tc>
          <w:tcPr>
            <w:tcW w:w="3279" w:type="pct"/>
            <w:shd w:val="clear" w:color="auto" w:fill="FFFFF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"操作说明!A1978" </w:instrText>
            </w:r>
            <w:r>
              <w:fldChar w:fldCharType="separate"/>
            </w:r>
            <w:r>
              <w:rPr>
                <w:rStyle w:val="28"/>
                <w:rFonts w:ascii="Times New Roman" w:hAnsi="Times New Roman" w:eastAsia="仿宋" w:cs="Times New Roman"/>
                <w:color w:val="auto"/>
                <w:sz w:val="22"/>
                <w:u w:val="none"/>
              </w:rPr>
              <w:t>确定可比因素的方法和过程（特别说明对可比因素分析时考虑的主要方面），价值比率的确定过程，分析、调整评估对象财务状况的内容。</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FFFFFF"/>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"操作说明!A1998" </w:instrText>
            </w:r>
            <w:r>
              <w:fldChar w:fldCharType="separate"/>
            </w:r>
            <w:r>
              <w:rPr>
                <w:rStyle w:val="28"/>
                <w:rFonts w:ascii="Times New Roman" w:hAnsi="Times New Roman" w:eastAsia="仿宋" w:cs="Times New Roman"/>
                <w:color w:val="auto"/>
                <w:sz w:val="22"/>
                <w:u w:val="none"/>
              </w:rPr>
              <w:t>评估值确定的方法、过程和结果。</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"操作说明!A2008" </w:instrText>
            </w:r>
            <w:r>
              <w:fldChar w:fldCharType="separate"/>
            </w:r>
            <w:r>
              <w:rPr>
                <w:rStyle w:val="28"/>
                <w:rFonts w:ascii="Times New Roman" w:hAnsi="Times New Roman" w:eastAsia="仿宋" w:cs="Times New Roman"/>
                <w:color w:val="auto"/>
                <w:sz w:val="22"/>
                <w:u w:val="none"/>
              </w:rPr>
              <w:t>列表说明公式中的各参数值以及测算过程，列示评估结论</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"操作说明!A2028" </w:instrText>
            </w:r>
            <w:r>
              <w:fldChar w:fldCharType="separate"/>
            </w:r>
            <w:r>
              <w:rPr>
                <w:rStyle w:val="28"/>
                <w:rFonts w:ascii="Times New Roman" w:hAnsi="Times New Roman" w:eastAsia="仿宋" w:cs="Times New Roman"/>
                <w:color w:val="auto"/>
                <w:sz w:val="22"/>
                <w:u w:val="none"/>
              </w:rPr>
              <w:t>关于具有控制权和缺乏控制权等因素产生的溢价或折价的考虑情况</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"操作说明!A2047" </w:instrText>
            </w:r>
            <w:r>
              <w:fldChar w:fldCharType="separate"/>
            </w:r>
            <w:r>
              <w:rPr>
                <w:rStyle w:val="28"/>
                <w:rFonts w:ascii="Times New Roman" w:hAnsi="Times New Roman" w:eastAsia="仿宋" w:cs="Times New Roman"/>
                <w:color w:val="auto"/>
                <w:sz w:val="22"/>
                <w:u w:val="none"/>
              </w:rPr>
              <w:t>关于流动性对评估价值影响的考虑情况</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"操作说明!A2066" </w:instrText>
            </w:r>
            <w:r>
              <w:fldChar w:fldCharType="separate"/>
            </w:r>
            <w:r>
              <w:rPr>
                <w:rStyle w:val="28"/>
                <w:rFonts w:ascii="Times New Roman" w:hAnsi="Times New Roman" w:eastAsia="仿宋" w:cs="Times New Roman"/>
                <w:color w:val="auto"/>
                <w:sz w:val="22"/>
                <w:u w:val="none"/>
              </w:rPr>
              <w:t>其他资产和负债的评估（非收益性/经营性资产和负债）价值</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279" w:type="pct"/>
            <w:shd w:val="clear" w:color="auto" w:fill="auto"/>
            <w:vAlign w:val="center"/>
          </w:tcPr>
          <w:p>
            <w:pPr>
              <w:widowControl/>
              <w:textAlignment w:val="center"/>
              <w:rPr>
                <w:rFonts w:ascii="Times New Roman" w:hAnsi="Times New Roman" w:eastAsia="仿宋" w:cs="Times New Roman"/>
                <w:sz w:val="22"/>
              </w:rPr>
            </w:pPr>
            <w:r>
              <w:fldChar w:fldCharType="begin"/>
            </w:r>
            <w:r>
              <w:instrText xml:space="preserve"> HYPERLINK \l "操作说明!A2075" </w:instrText>
            </w:r>
            <w:r>
              <w:fldChar w:fldCharType="separate"/>
            </w:r>
            <w:r>
              <w:rPr>
                <w:rStyle w:val="28"/>
                <w:rFonts w:ascii="Times New Roman" w:hAnsi="Times New Roman" w:eastAsia="仿宋" w:cs="Times New Roman"/>
                <w:color w:val="auto"/>
                <w:sz w:val="22"/>
                <w:u w:val="none"/>
              </w:rPr>
              <w:t>终值的估算</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"操作说明!A2089" </w:instrText>
            </w:r>
            <w:r>
              <w:fldChar w:fldCharType="separate"/>
            </w:r>
            <w:r>
              <w:rPr>
                <w:rStyle w:val="28"/>
                <w:rFonts w:ascii="Times New Roman" w:hAnsi="Times New Roman" w:eastAsia="仿宋" w:cs="Times New Roman"/>
                <w:color w:val="auto"/>
                <w:sz w:val="22"/>
                <w:u w:val="none"/>
              </w:rPr>
              <w:t>市场法测算表格（是否齐全）</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32</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"操作说明!A2100" </w:instrText>
            </w:r>
            <w:r>
              <w:fldChar w:fldCharType="separate"/>
            </w:r>
            <w:r>
              <w:rPr>
                <w:rStyle w:val="28"/>
                <w:rFonts w:ascii="Times New Roman" w:hAnsi="Times New Roman" w:eastAsia="仿宋" w:cs="Times New Roman"/>
                <w:color w:val="auto"/>
                <w:sz w:val="22"/>
                <w:u w:val="none"/>
              </w:rPr>
              <w:t>评估结论及分析</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"操作说明!A2129" </w:instrText>
            </w:r>
            <w:r>
              <w:fldChar w:fldCharType="separate"/>
            </w:r>
            <w:r>
              <w:rPr>
                <w:rStyle w:val="28"/>
                <w:rFonts w:ascii="Times New Roman" w:hAnsi="Times New Roman" w:eastAsia="仿宋" w:cs="Times New Roman"/>
                <w:color w:val="auto"/>
                <w:sz w:val="22"/>
                <w:u w:val="none"/>
              </w:rPr>
              <w:t>评估结论计算正确</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jc w:val="right"/>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"操作说明!A2132" </w:instrText>
            </w:r>
            <w:r>
              <w:fldChar w:fldCharType="separate"/>
            </w:r>
            <w:r>
              <w:rPr>
                <w:rStyle w:val="28"/>
                <w:rFonts w:ascii="Times New Roman" w:hAnsi="Times New Roman" w:eastAsia="仿宋" w:cs="Times New Roman"/>
                <w:color w:val="auto"/>
                <w:sz w:val="22"/>
                <w:u w:val="none"/>
              </w:rPr>
              <w:t>采用两种以上方法，说明两种以上评估方法结论的差异及其原因和最终确定评估结论的理由</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279" w:type="pct"/>
            <w:shd w:val="clear" w:color="auto" w:fill="auto"/>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"操作说明!A2137" </w:instrText>
            </w:r>
            <w:r>
              <w:fldChar w:fldCharType="separate"/>
            </w:r>
            <w:r>
              <w:rPr>
                <w:rStyle w:val="28"/>
                <w:rFonts w:ascii="Times New Roman" w:hAnsi="Times New Roman" w:eastAsia="仿宋" w:cs="Times New Roman"/>
                <w:color w:val="auto"/>
                <w:sz w:val="22"/>
                <w:u w:val="none"/>
              </w:rPr>
              <w:t>评估价值与账面价值比较变动情况及原因</w:t>
            </w:r>
            <w:r>
              <w:rPr>
                <w:rStyle w:val="28"/>
                <w:rFonts w:ascii="Times New Roman" w:hAnsi="Times New Roman" w:eastAsia="仿宋" w:cs="Times New Roman"/>
                <w:color w:val="auto"/>
                <w:sz w:val="22"/>
                <w:u w:val="none"/>
              </w:rPr>
              <w:fldChar w:fldCharType="end"/>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（三）</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评估明细表</w:t>
            </w:r>
          </w:p>
        </w:tc>
        <w:tc>
          <w:tcPr>
            <w:tcW w:w="636" w:type="pct"/>
            <w:shd w:val="clear" w:color="auto" w:fill="BFBFBF"/>
            <w:vAlign w:val="center"/>
          </w:tcPr>
          <w:p>
            <w:pPr>
              <w:jc w:val="right"/>
              <w:rPr>
                <w:rFonts w:ascii="Times New Roman" w:hAnsi="Times New Roman" w:eastAsia="仿宋" w:cs="Times New Roman"/>
                <w:b/>
                <w:bCs/>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BFBFBF"/>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33</w:t>
            </w:r>
            <w:r>
              <w:rPr>
                <w:rFonts w:ascii="Segoe UI Symbol" w:hAnsi="Segoe UI Symbol" w:eastAsia="仿宋" w:cs="Segoe UI Symbol"/>
                <w:kern w:val="0"/>
                <w:sz w:val="22"/>
                <w:lang w:bidi="ar"/>
              </w:rPr>
              <w:t>★</w:t>
            </w:r>
          </w:p>
        </w:tc>
        <w:tc>
          <w:tcPr>
            <w:tcW w:w="3279" w:type="pct"/>
            <w:shd w:val="clear" w:color="auto" w:fill="BFBFBF"/>
            <w:vAlign w:val="center"/>
          </w:tcPr>
          <w:p>
            <w:pPr>
              <w:widowControl/>
              <w:jc w:val="left"/>
              <w:textAlignment w:val="center"/>
              <w:rPr>
                <w:rFonts w:ascii="Times New Roman" w:hAnsi="Times New Roman" w:eastAsia="仿宋" w:cs="Times New Roman"/>
                <w:sz w:val="22"/>
              </w:rPr>
            </w:pPr>
            <w:r>
              <w:fldChar w:fldCharType="begin"/>
            </w:r>
            <w:r>
              <w:instrText xml:space="preserve"> HYPERLINK \l "操作说明!A2166" </w:instrText>
            </w:r>
            <w:r>
              <w:fldChar w:fldCharType="separate"/>
            </w:r>
            <w:r>
              <w:rPr>
                <w:rStyle w:val="28"/>
                <w:rFonts w:ascii="Times New Roman" w:hAnsi="Times New Roman" w:eastAsia="仿宋" w:cs="Times New Roman"/>
                <w:color w:val="auto"/>
                <w:sz w:val="22"/>
                <w:u w:val="none"/>
              </w:rPr>
              <w:t>评估明细表（根据具体情况确定）</w:t>
            </w:r>
            <w:r>
              <w:rPr>
                <w:rStyle w:val="28"/>
                <w:rFonts w:ascii="Times New Roman" w:hAnsi="Times New Roman" w:eastAsia="仿宋" w:cs="Times New Roman"/>
                <w:color w:val="auto"/>
                <w:sz w:val="22"/>
                <w:u w:val="none"/>
              </w:rPr>
              <w:fldChar w:fldCharType="end"/>
            </w:r>
          </w:p>
        </w:tc>
        <w:tc>
          <w:tcPr>
            <w:tcW w:w="636" w:type="pct"/>
            <w:shd w:val="clear" w:color="auto" w:fill="BFBFBF"/>
            <w:vAlign w:val="center"/>
          </w:tcPr>
          <w:p>
            <w:pPr>
              <w:jc w:val="right"/>
              <w:rPr>
                <w:rFonts w:ascii="Times New Roman" w:hAnsi="Times New Roman" w:eastAsia="仿宋" w:cs="Times New Roman"/>
                <w:sz w:val="22"/>
              </w:rPr>
            </w:pPr>
          </w:p>
        </w:tc>
        <w:tc>
          <w:tcPr>
            <w:tcW w:w="456" w:type="pct"/>
            <w:shd w:val="clear" w:color="auto" w:fill="BFBFBF"/>
            <w:vAlign w:val="center"/>
          </w:tcPr>
          <w:p>
            <w:pPr>
              <w:jc w:val="left"/>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279" w:type="pct"/>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规范、系统、齐全</w:t>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5" w:hRule="atLeast"/>
        </w:trPr>
        <w:tc>
          <w:tcPr>
            <w:tcW w:w="629" w:type="pct"/>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279" w:type="pct"/>
            <w:shd w:val="clear" w:color="auto" w:fill="auto"/>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表中内容含有资产负债的名称（明细）、经营业务或者事项内容、技术参数、发生（购、建、创）日期、账面价值、评估价值、评估增减幅度等基本内容。必要时，在备注栏对技术参数或者经营业务、事项情况进行注释</w:t>
            </w:r>
          </w:p>
        </w:tc>
        <w:tc>
          <w:tcPr>
            <w:tcW w:w="636" w:type="pct"/>
            <w:shd w:val="clear" w:color="auto" w:fill="FFFFFF"/>
            <w:vAlign w:val="center"/>
          </w:tcPr>
          <w:p>
            <w:pPr>
              <w:widowControl/>
              <w:jc w:val="right"/>
              <w:textAlignment w:val="center"/>
              <w:rPr>
                <w:rFonts w:ascii="Times New Roman" w:hAnsi="Times New Roman" w:eastAsia="仿宋" w:cs="Times New Roman"/>
                <w:sz w:val="22"/>
              </w:rPr>
            </w:pPr>
          </w:p>
        </w:tc>
        <w:tc>
          <w:tcPr>
            <w:tcW w:w="456" w:type="pct"/>
            <w:shd w:val="clear" w:color="auto" w:fill="auto"/>
            <w:noWrap/>
            <w:vAlign w:val="center"/>
          </w:tcPr>
          <w:p>
            <w:pPr>
              <w:rPr>
                <w:rFonts w:ascii="Times New Roman" w:hAnsi="Times New Roman" w:eastAsia="仿宋" w:cs="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5" w:hRule="atLeast"/>
        </w:trPr>
        <w:tc>
          <w:tcPr>
            <w:tcW w:w="629" w:type="pct"/>
            <w:vMerge w:val="restar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评估报告内容规范性和完整性存在问题项数合计：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0分项数合计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1分项数合计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3分（含3分）以下项平均得分</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2分（含2分）以下项平均得分</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27" w:hRule="atLeast"/>
        </w:trPr>
        <w:tc>
          <w:tcPr>
            <w:tcW w:w="629" w:type="pct"/>
            <w:vMerge w:val="continue"/>
            <w:shd w:val="clear" w:color="auto" w:fill="auto"/>
            <w:vAlign w:val="center"/>
          </w:tcPr>
          <w:p>
            <w:pPr>
              <w:jc w:val="center"/>
              <w:rPr>
                <w:rFonts w:ascii="Times New Roman" w:hAnsi="Times New Roman" w:eastAsia="仿宋" w:cs="Times New Roman"/>
                <w:sz w:val="22"/>
              </w:rPr>
            </w:pPr>
          </w:p>
        </w:tc>
        <w:tc>
          <w:tcPr>
            <w:tcW w:w="4371" w:type="pct"/>
            <w:gridSpan w:val="3"/>
            <w:shd w:val="clear" w:color="auto" w:fill="auto"/>
          </w:tcPr>
          <w:p>
            <w:pPr>
              <w:widowControl/>
              <w:jc w:val="left"/>
              <w:textAlignment w:val="top"/>
              <w:rPr>
                <w:rFonts w:ascii="Times New Roman" w:hAnsi="Times New Roman" w:eastAsia="仿宋" w:cs="Times New Roman"/>
                <w:b/>
                <w:bCs/>
                <w:sz w:val="22"/>
              </w:rPr>
            </w:pPr>
            <w:r>
              <w:rPr>
                <w:rFonts w:ascii="Times New Roman" w:hAnsi="Times New Roman" w:eastAsia="仿宋" w:cs="Times New Roman"/>
                <w:b/>
                <w:bCs/>
                <w:kern w:val="0"/>
                <w:sz w:val="22"/>
                <w:lang w:bidi="ar"/>
              </w:rPr>
              <w:t>评估报告内容规范性和完整性检查意见（指出存在的主要问题）：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5000" w:type="pct"/>
            <w:gridSpan w:val="4"/>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三、评估业务整体评分结果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noWrap/>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评估业务整体存在问题项数合计：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0分项数合计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1分项数合计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3分项数合计</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3分（含3分）以下项平均得分</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629" w:type="pct"/>
            <w:shd w:val="clear" w:color="auto" w:fill="auto"/>
            <w:vAlign w:val="center"/>
          </w:tcPr>
          <w:p>
            <w:pPr>
              <w:jc w:val="center"/>
              <w:rPr>
                <w:rFonts w:ascii="Times New Roman" w:hAnsi="Times New Roman" w:eastAsia="仿宋" w:cs="Times New Roman"/>
                <w:sz w:val="22"/>
              </w:rPr>
            </w:pPr>
          </w:p>
        </w:tc>
        <w:tc>
          <w:tcPr>
            <w:tcW w:w="3279" w:type="pct"/>
            <w:shd w:val="clear" w:color="auto" w:fill="auto"/>
            <w:vAlign w:val="center"/>
          </w:tcPr>
          <w:p>
            <w:pPr>
              <w:widowControl/>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2分（含2分）以下项平均得分</w:t>
            </w:r>
          </w:p>
        </w:tc>
        <w:tc>
          <w:tcPr>
            <w:tcW w:w="1092" w:type="pct"/>
            <w:gridSpan w:val="2"/>
            <w:shd w:val="clear" w:color="auto" w:fill="BFBFBF"/>
            <w:vAlign w:val="center"/>
          </w:tcPr>
          <w:p>
            <w:pPr>
              <w:widowControl/>
              <w:jc w:val="center"/>
              <w:textAlignment w:val="center"/>
              <w:rPr>
                <w:rFonts w:ascii="Times New Roman" w:hAnsi="Times New Roman" w:eastAsia="仿宋" w:cs="Times New Roman"/>
                <w:b/>
                <w:bCs/>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trPr>
        <w:tc>
          <w:tcPr>
            <w:tcW w:w="5000" w:type="pct"/>
            <w:gridSpan w:val="4"/>
            <w:shd w:val="clear" w:color="auto" w:fill="auto"/>
            <w:noWrap/>
            <w:vAlign w:val="center"/>
          </w:tcPr>
          <w:p>
            <w:pPr>
              <w:rPr>
                <w:rFonts w:ascii="Times New Roman" w:hAnsi="Times New Roman" w:eastAsia="仿宋" w:cs="Times New Roman"/>
                <w:sz w:val="30"/>
                <w:szCs w:val="30"/>
              </w:rPr>
            </w:pP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 xml:space="preserve">人员：       </w:t>
            </w: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时间：           复核人员：      复核时间：</w:t>
            </w:r>
          </w:p>
          <w:p>
            <w:pPr>
              <w:widowControl/>
              <w:jc w:val="left"/>
              <w:textAlignment w:val="center"/>
              <w:rPr>
                <w:rFonts w:ascii="Times New Roman" w:hAnsi="Times New Roman" w:eastAsia="仿宋" w:cs="Times New Roman"/>
                <w:sz w:val="22"/>
              </w:rPr>
            </w:pPr>
          </w:p>
        </w:tc>
      </w:tr>
    </w:tbl>
    <w:p>
      <w:pPr>
        <w:rPr>
          <w:rFonts w:ascii="Times New Roman" w:hAnsi="Times New Roman" w:eastAsia="仿宋" w:cs="Times New Roman"/>
          <w:sz w:val="24"/>
        </w:rPr>
      </w:pPr>
    </w:p>
    <w:p>
      <w:pPr>
        <w:rPr>
          <w:rFonts w:ascii="Times New Roman" w:hAnsi="Times New Roman" w:eastAsia="仿宋" w:cs="Times New Roman"/>
        </w:rPr>
      </w:pPr>
    </w:p>
    <w:p>
      <w:pPr>
        <w:jc w:val="center"/>
        <w:outlineLvl w:val="2"/>
        <w:rPr>
          <w:rStyle w:val="31"/>
          <w:rFonts w:ascii="Times New Roman" w:hAnsi="Times New Roman" w:eastAsia="仿宋"/>
          <w:sz w:val="44"/>
          <w:szCs w:val="44"/>
        </w:rPr>
      </w:pPr>
      <w:bookmarkStart w:id="22" w:name="_Toc106980810"/>
      <w:bookmarkStart w:id="23" w:name="_Toc70262747"/>
    </w:p>
    <w:p>
      <w:pPr>
        <w:jc w:val="center"/>
        <w:outlineLvl w:val="2"/>
        <w:rPr>
          <w:rStyle w:val="31"/>
          <w:rFonts w:ascii="Times New Roman" w:hAnsi="Times New Roman" w:eastAsia="仿宋"/>
          <w:sz w:val="44"/>
          <w:szCs w:val="44"/>
        </w:rPr>
      </w:pPr>
    </w:p>
    <w:p>
      <w:pPr>
        <w:jc w:val="center"/>
        <w:outlineLvl w:val="2"/>
        <w:rPr>
          <w:rStyle w:val="31"/>
          <w:rFonts w:ascii="Times New Roman" w:hAnsi="Times New Roman" w:eastAsia="仿宋"/>
          <w:sz w:val="44"/>
          <w:szCs w:val="44"/>
        </w:rPr>
      </w:pPr>
    </w:p>
    <w:p>
      <w:pPr>
        <w:jc w:val="center"/>
        <w:outlineLvl w:val="2"/>
        <w:rPr>
          <w:rStyle w:val="31"/>
          <w:rFonts w:ascii="Times New Roman" w:hAnsi="Times New Roman" w:eastAsia="仿宋"/>
          <w:sz w:val="44"/>
          <w:szCs w:val="44"/>
        </w:rPr>
      </w:pPr>
    </w:p>
    <w:p>
      <w:pPr>
        <w:jc w:val="center"/>
        <w:outlineLvl w:val="2"/>
        <w:rPr>
          <w:rStyle w:val="31"/>
          <w:rFonts w:ascii="Times New Roman" w:hAnsi="Times New Roman" w:eastAsia="仿宋"/>
          <w:sz w:val="44"/>
          <w:szCs w:val="44"/>
        </w:rPr>
      </w:pPr>
    </w:p>
    <w:p>
      <w:pPr>
        <w:jc w:val="center"/>
        <w:outlineLvl w:val="2"/>
        <w:rPr>
          <w:rStyle w:val="31"/>
          <w:rFonts w:ascii="Times New Roman" w:hAnsi="Times New Roman" w:eastAsia="仿宋"/>
          <w:sz w:val="44"/>
          <w:szCs w:val="44"/>
        </w:rPr>
      </w:pPr>
      <w:r>
        <w:rPr>
          <w:rStyle w:val="31"/>
          <w:rFonts w:ascii="Times New Roman" w:hAnsi="Times New Roman" w:eastAsia="仿宋"/>
          <w:sz w:val="44"/>
          <w:szCs w:val="44"/>
        </w:rPr>
        <w:t>企业价值评估</w:t>
      </w:r>
      <w:r>
        <w:rPr>
          <w:rStyle w:val="31"/>
          <w:rFonts w:hint="eastAsia" w:ascii="Times New Roman" w:hAnsi="Times New Roman" w:eastAsia="仿宋"/>
          <w:sz w:val="44"/>
          <w:szCs w:val="44"/>
        </w:rPr>
        <w:t>（国资）</w:t>
      </w:r>
      <w:r>
        <w:rPr>
          <w:rStyle w:val="31"/>
          <w:rFonts w:ascii="Times New Roman" w:hAnsi="Times New Roman" w:eastAsia="仿宋"/>
          <w:sz w:val="44"/>
          <w:szCs w:val="44"/>
        </w:rPr>
        <w:t>业务</w:t>
      </w:r>
      <w:r>
        <w:rPr>
          <w:rStyle w:val="31"/>
          <w:rFonts w:hint="eastAsia" w:ascii="Times New Roman" w:hAnsi="Times New Roman" w:eastAsia="仿宋"/>
          <w:sz w:val="44"/>
          <w:szCs w:val="44"/>
          <w:lang w:eastAsia="zh-CN"/>
        </w:rPr>
        <w:t>自查</w:t>
      </w:r>
      <w:r>
        <w:rPr>
          <w:rStyle w:val="31"/>
          <w:rFonts w:ascii="Times New Roman" w:hAnsi="Times New Roman" w:eastAsia="仿宋"/>
          <w:sz w:val="44"/>
          <w:szCs w:val="44"/>
        </w:rPr>
        <w:t>说明</w:t>
      </w:r>
      <w:bookmarkEnd w:id="22"/>
      <w:bookmarkEnd w:id="23"/>
    </w:p>
    <w:p>
      <w:pPr>
        <w:spacing w:line="360" w:lineRule="auto"/>
        <w:ind w:firstLine="411" w:firstLineChars="196"/>
        <w:rPr>
          <w:rFonts w:ascii="Times New Roman" w:hAnsi="Times New Roman" w:eastAsia="仿宋" w:cs="Times New Roman"/>
          <w:b/>
          <w:sz w:val="24"/>
          <w:szCs w:val="28"/>
        </w:rPr>
      </w:pPr>
      <w:r>
        <w:rPr>
          <w:rFonts w:ascii="Times New Roman" w:hAnsi="Times New Roman" w:eastAsia="仿宋" w:cs="Times New Roman"/>
        </w:rPr>
        <mc:AlternateContent>
          <mc:Choice Requires="wps">
            <w:drawing>
              <wp:anchor distT="45720" distB="45720" distL="114300" distR="114300" simplePos="0" relativeHeight="251662336" behindDoc="0" locked="0" layoutInCell="1" allowOverlap="1">
                <wp:simplePos x="0" y="0"/>
                <wp:positionH relativeFrom="column">
                  <wp:posOffset>-205740</wp:posOffset>
                </wp:positionH>
                <wp:positionV relativeFrom="paragraph">
                  <wp:posOffset>413385</wp:posOffset>
                </wp:positionV>
                <wp:extent cx="5667375" cy="1944370"/>
                <wp:effectExtent l="0" t="0" r="28575" b="17780"/>
                <wp:wrapSquare wrapText="bothSides"/>
                <wp:docPr id="4" name="文本框 4"/>
                <wp:cNvGraphicFramePr/>
                <a:graphic xmlns:a="http://schemas.openxmlformats.org/drawingml/2006/main">
                  <a:graphicData uri="http://schemas.microsoft.com/office/word/2010/wordprocessingShape">
                    <wps:wsp>
                      <wps:cNvSpPr txBox="1"/>
                      <wps:spPr>
                        <a:xfrm>
                          <a:off x="0" y="0"/>
                          <a:ext cx="5667375" cy="1944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425" w:firstLineChars="152"/>
                              <w:jc w:val="left"/>
                              <w:rPr>
                                <w:rFonts w:ascii="黑体" w:hAnsi="黑体" w:eastAsia="黑体"/>
                                <w:bCs/>
                                <w:sz w:val="28"/>
                                <w:szCs w:val="28"/>
                              </w:rPr>
                            </w:pP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过程中重点关注各检查项目得分在0、1.2.3分的情况，检查底稿表中只对检查得分为0、1.2.3分的情况进行填报记录，即在对应检查项目中填写相应得分。</w:t>
                            </w:r>
                          </w:p>
                        </w:txbxContent>
                      </wps:txbx>
                      <wps:bodyPr wrap="square" upright="1">
                        <a:noAutofit/>
                      </wps:bodyPr>
                    </wps:wsp>
                  </a:graphicData>
                </a:graphic>
              </wp:anchor>
            </w:drawing>
          </mc:Choice>
          <mc:Fallback>
            <w:pict>
              <v:shape id="_x0000_s1026" o:spid="_x0000_s1026" o:spt="202" type="#_x0000_t202" style="position:absolute;left:0pt;margin-left:-16.2pt;margin-top:32.55pt;height:153.1pt;width:446.25pt;mso-wrap-distance-bottom:3.6pt;mso-wrap-distance-left:9pt;mso-wrap-distance-right:9pt;mso-wrap-distance-top:3.6pt;z-index:251662336;mso-width-relative:page;mso-height-relative:page;" fillcolor="#FFFFFF" filled="t" stroked="t" coordsize="21600,21600" o:gfxdata="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0GW7PaAAAACgEAAA8AAAAAAAAAAQAgAAAAIgAAAGRycy9kb3ducmV2LnhtbFBLAQIUABQAAAAI&#10;AIdO4kDjboU/JAIAAF8EAAAOAAAAAAAAAAEAIAAAACkBAABkcnMvZTJvRG9jLnhtbFBLBQYAAAAA&#10;BgAGAFkBAAC/BQAAAAA=&#10;">
                <v:fill on="t" focussize="0,0"/>
                <v:stroke color="#000000" joinstyle="miter"/>
                <v:imagedata o:title=""/>
                <o:lock v:ext="edit" aspectratio="f"/>
                <v:textbo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425" w:firstLineChars="152"/>
                        <w:jc w:val="left"/>
                        <w:rPr>
                          <w:rFonts w:ascii="黑体" w:hAnsi="黑体" w:eastAsia="黑体"/>
                          <w:bCs/>
                          <w:sz w:val="28"/>
                          <w:szCs w:val="28"/>
                        </w:rPr>
                      </w:pP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过程中重点关注各检查项目得分在0、1.2.3分的情况，检查底稿表中只对检查得分为0、1.2.3分的情况进行填报记录，即在对应检查项目中填写相应得分。</w:t>
                      </w:r>
                    </w:p>
                  </w:txbxContent>
                </v:textbox>
                <w10:wrap type="square"/>
              </v:shape>
            </w:pict>
          </mc:Fallback>
        </mc:AlternateContent>
      </w:r>
    </w:p>
    <w:p>
      <w:pPr>
        <w:adjustRightInd w:val="0"/>
        <w:snapToGrid w:val="0"/>
        <w:spacing w:line="360" w:lineRule="auto"/>
        <w:ind w:firstLine="482" w:firstLineChars="200"/>
        <w:rPr>
          <w:rFonts w:ascii="Times New Roman" w:hAnsi="Times New Roman" w:eastAsia="仿宋" w:cs="Times New Roman"/>
          <w:b/>
          <w:sz w:val="24"/>
          <w:szCs w:val="28"/>
        </w:rPr>
      </w:pPr>
    </w:p>
    <w:p>
      <w:pPr>
        <w:rPr>
          <w:rFonts w:ascii="Times New Roman" w:hAnsi="Times New Roman" w:eastAsia="仿宋" w:cs="Times New Roman"/>
          <w:sz w:val="24"/>
        </w:rPr>
      </w:pPr>
    </w:p>
    <w:p>
      <w:pPr>
        <w:jc w:val="center"/>
        <w:outlineLvl w:val="2"/>
        <w:rPr>
          <w:rStyle w:val="31"/>
          <w:rFonts w:ascii="Times New Roman" w:hAnsi="Times New Roman" w:eastAsia="仿宋"/>
          <w:b w:val="0"/>
          <w:szCs w:val="36"/>
        </w:rPr>
      </w:pPr>
      <w:bookmarkStart w:id="24" w:name="_Toc70262748"/>
      <w:bookmarkStart w:id="25" w:name="_Toc106980813"/>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b w:val="0"/>
          <w:szCs w:val="36"/>
        </w:rPr>
      </w:pPr>
    </w:p>
    <w:p>
      <w:pPr>
        <w:jc w:val="center"/>
        <w:outlineLvl w:val="2"/>
        <w:rPr>
          <w:rStyle w:val="31"/>
          <w:rFonts w:ascii="Times New Roman" w:hAnsi="Times New Roman" w:eastAsia="仿宋"/>
          <w:szCs w:val="36"/>
        </w:rPr>
      </w:pPr>
      <w:r>
        <w:rPr>
          <w:rStyle w:val="31"/>
          <w:rFonts w:ascii="Times New Roman" w:hAnsi="Times New Roman" w:eastAsia="仿宋"/>
          <w:b w:val="0"/>
          <w:szCs w:val="36"/>
        </w:rPr>
        <w:t xml:space="preserve">表4-4 </w:t>
      </w:r>
      <w:r>
        <w:rPr>
          <w:rStyle w:val="31"/>
          <w:rFonts w:ascii="Times New Roman" w:hAnsi="Times New Roman" w:eastAsia="仿宋"/>
          <w:szCs w:val="36"/>
        </w:rPr>
        <w:t>无形资产评估业务</w:t>
      </w:r>
      <w:r>
        <w:rPr>
          <w:rStyle w:val="31"/>
          <w:rFonts w:hint="eastAsia" w:ascii="Times New Roman" w:hAnsi="Times New Roman" w:eastAsia="仿宋"/>
          <w:szCs w:val="36"/>
          <w:lang w:eastAsia="zh-CN"/>
        </w:rPr>
        <w:t>自查</w:t>
      </w:r>
      <w:r>
        <w:rPr>
          <w:rStyle w:val="31"/>
          <w:rFonts w:ascii="Times New Roman" w:hAnsi="Times New Roman" w:eastAsia="仿宋"/>
          <w:szCs w:val="36"/>
        </w:rPr>
        <w:t>底稿</w:t>
      </w:r>
      <w:bookmarkEnd w:id="24"/>
      <w:bookmarkEnd w:id="25"/>
    </w:p>
    <w:p>
      <w:pPr>
        <w:rPr>
          <w:rFonts w:ascii="Times New Roman" w:hAnsi="Times New Roman" w:eastAsia="仿宋" w:cs="Times New Roman"/>
          <w:sz w:val="24"/>
        </w:rPr>
      </w:pPr>
    </w:p>
    <w:tbl>
      <w:tblPr>
        <w:tblStyle w:val="25"/>
        <w:tblW w:w="5000" w:type="pct"/>
        <w:tblInd w:w="0" w:type="dxa"/>
        <w:tblLayout w:type="fixed"/>
        <w:tblCellMar>
          <w:top w:w="0" w:type="dxa"/>
          <w:left w:w="108" w:type="dxa"/>
          <w:bottom w:w="0" w:type="dxa"/>
          <w:right w:w="108" w:type="dxa"/>
        </w:tblCellMar>
      </w:tblPr>
      <w:tblGrid>
        <w:gridCol w:w="762"/>
        <w:gridCol w:w="6689"/>
        <w:gridCol w:w="855"/>
        <w:gridCol w:w="415"/>
      </w:tblGrid>
      <w:tr>
        <w:tblPrEx>
          <w:tblCellMar>
            <w:top w:w="0" w:type="dxa"/>
            <w:left w:w="108" w:type="dxa"/>
            <w:bottom w:w="0" w:type="dxa"/>
            <w:right w:w="108" w:type="dxa"/>
          </w:tblCellMar>
        </w:tblPrEx>
        <w:trPr>
          <w:trHeight w:val="285" w:hRule="atLeast"/>
          <w:tblHeader/>
        </w:trPr>
        <w:tc>
          <w:tcPr>
            <w:tcW w:w="5000" w:type="pct"/>
            <w:gridSpan w:val="4"/>
            <w:tcBorders>
              <w:top w:val="nil"/>
              <w:left w:val="nil"/>
              <w:bottom w:val="nil"/>
              <w:right w:val="nil"/>
            </w:tcBorders>
            <w:shd w:val="clear" w:color="auto" w:fill="auto"/>
            <w:noWrap/>
            <w:vAlign w:val="center"/>
          </w:tcPr>
          <w:p>
            <w:pPr>
              <w:widowControl/>
              <w:jc w:val="left"/>
              <w:textAlignment w:val="center"/>
              <w:rPr>
                <w:rFonts w:ascii="Times New Roman" w:hAnsi="Times New Roman" w:eastAsia="仿宋" w:cs="Times New Roman"/>
                <w:b/>
                <w:bCs/>
                <w:sz w:val="24"/>
                <w:szCs w:val="24"/>
              </w:rPr>
            </w:pP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 xml:space="preserve">单位名称：                           </w:t>
            </w:r>
            <w:r>
              <w:rPr>
                <w:rFonts w:hint="eastAsia" w:ascii="Times New Roman" w:hAnsi="Times New Roman" w:eastAsia="仿宋" w:cs="Times New Roman"/>
                <w:sz w:val="24"/>
                <w:szCs w:val="24"/>
                <w:lang w:eastAsia="zh-CN"/>
              </w:rPr>
              <w:t>自查</w:t>
            </w:r>
            <w:r>
              <w:rPr>
                <w:rFonts w:ascii="Times New Roman" w:hAnsi="Times New Roman" w:eastAsia="仿宋" w:cs="Times New Roman"/>
                <w:sz w:val="24"/>
                <w:szCs w:val="24"/>
              </w:rPr>
              <w:t>报告文号：</w:t>
            </w:r>
          </w:p>
        </w:tc>
      </w:tr>
      <w:tr>
        <w:tblPrEx>
          <w:tblCellMar>
            <w:top w:w="0" w:type="dxa"/>
            <w:left w:w="108" w:type="dxa"/>
            <w:bottom w:w="0" w:type="dxa"/>
            <w:right w:w="108" w:type="dxa"/>
          </w:tblCellMar>
        </w:tblPrEx>
        <w:trPr>
          <w:trHeight w:val="555" w:hRule="atLeast"/>
          <w:tblHead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序号</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ascii="Times New Roman" w:hAnsi="Times New Roman" w:eastAsia="仿宋" w:cs="Times New Roman"/>
                <w:b/>
                <w:bCs/>
                <w:kern w:val="0"/>
                <w:sz w:val="22"/>
                <w:lang w:bidi="ar"/>
              </w:rPr>
              <w:t>内容</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b/>
                <w:bCs/>
                <w:sz w:val="22"/>
              </w:rPr>
            </w:pPr>
            <w:r>
              <w:rPr>
                <w:rFonts w:hint="eastAsia" w:ascii="Times New Roman" w:hAnsi="Times New Roman" w:eastAsia="仿宋" w:cs="Times New Roman"/>
                <w:b/>
                <w:bCs/>
                <w:kern w:val="0"/>
                <w:sz w:val="22"/>
                <w:lang w:eastAsia="zh-CN" w:bidi="ar"/>
              </w:rPr>
              <w:t>自查</w:t>
            </w:r>
            <w:r>
              <w:rPr>
                <w:rFonts w:hint="eastAsia" w:ascii="Times New Roman" w:hAnsi="Times New Roman" w:eastAsia="仿宋" w:cs="Times New Roman"/>
                <w:b/>
                <w:bCs/>
                <w:kern w:val="0"/>
                <w:sz w:val="22"/>
                <w:lang w:bidi="ar"/>
              </w:rPr>
              <w:t>得分</w:t>
            </w: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索引</w:t>
            </w:r>
          </w:p>
        </w:tc>
      </w:tr>
      <w:tr>
        <w:tblPrEx>
          <w:tblCellMar>
            <w:top w:w="0" w:type="dxa"/>
            <w:left w:w="108" w:type="dxa"/>
            <w:bottom w:w="0" w:type="dxa"/>
            <w:right w:w="108" w:type="dxa"/>
          </w:tblCellMar>
        </w:tblPrEx>
        <w:trPr>
          <w:trHeight w:val="409" w:hRule="atLeast"/>
        </w:trPr>
        <w:tc>
          <w:tcPr>
            <w:tcW w:w="5000"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一、评估工作底稿规范性和完备性</w:t>
            </w: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明确业务基本事项</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 </w:instrText>
            </w:r>
            <w:r>
              <w:fldChar w:fldCharType="separate"/>
            </w:r>
            <w:r>
              <w:rPr>
                <w:rStyle w:val="28"/>
                <w:rFonts w:ascii="Times New Roman" w:hAnsi="Times New Roman" w:eastAsia="仿宋" w:cs="Times New Roman"/>
                <w:color w:val="auto"/>
                <w:sz w:val="22"/>
              </w:rPr>
              <w:t>明确资产评估业务基本事项</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资产评估业务综合分析和评价</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nil"/>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"操作说明!A31" </w:instrText>
            </w:r>
            <w:r>
              <w:fldChar w:fldCharType="separate"/>
            </w:r>
            <w:r>
              <w:rPr>
                <w:rStyle w:val="28"/>
                <w:rFonts w:ascii="Times New Roman" w:hAnsi="Times New Roman" w:eastAsia="仿宋" w:cs="Times New Roman"/>
                <w:color w:val="auto"/>
                <w:sz w:val="22"/>
              </w:rPr>
              <w:t>专业能力分析和评价</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nil"/>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"操作说明!A52" </w:instrText>
            </w:r>
            <w:r>
              <w:fldChar w:fldCharType="separate"/>
            </w:r>
            <w:r>
              <w:rPr>
                <w:rStyle w:val="28"/>
                <w:rFonts w:ascii="Times New Roman" w:hAnsi="Times New Roman" w:eastAsia="仿宋" w:cs="Times New Roman"/>
                <w:color w:val="auto"/>
                <w:sz w:val="22"/>
              </w:rPr>
              <w:t>独立性分析和评价</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nil"/>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"操作说明!A68" </w:instrText>
            </w:r>
            <w:r>
              <w:fldChar w:fldCharType="separate"/>
            </w:r>
            <w:r>
              <w:rPr>
                <w:rStyle w:val="28"/>
                <w:rFonts w:ascii="Times New Roman" w:hAnsi="Times New Roman" w:eastAsia="仿宋" w:cs="Times New Roman"/>
                <w:color w:val="auto"/>
                <w:sz w:val="22"/>
              </w:rPr>
              <w:t>业务风险分析和评价</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b/>
                <w:bCs/>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eastAsia="仿宋" w:cs="Times New Roman"/>
                <w:sz w:val="22"/>
                <w:u w:val="single"/>
              </w:rPr>
            </w:pPr>
            <w:r>
              <w:fldChar w:fldCharType="begin"/>
            </w:r>
            <w:r>
              <w:instrText xml:space="preserve"> HYPERLINK \l "操作说明!A83" </w:instrText>
            </w:r>
            <w:r>
              <w:fldChar w:fldCharType="separate"/>
            </w:r>
            <w:r>
              <w:rPr>
                <w:rStyle w:val="28"/>
                <w:rFonts w:ascii="Times New Roman" w:hAnsi="Times New Roman" w:eastAsia="仿宋" w:cs="Times New Roman"/>
                <w:color w:val="auto"/>
                <w:sz w:val="22"/>
              </w:rPr>
              <w:t>订立业务委托合同</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eastAsia="仿宋" w:cs="Times New Roman"/>
                <w:sz w:val="22"/>
                <w:u w:val="single"/>
              </w:rPr>
            </w:pPr>
            <w:r>
              <w:fldChar w:fldCharType="begin"/>
            </w:r>
            <w:r>
              <w:instrText xml:space="preserve"> HYPERLINK \l "操作说明!A107" </w:instrText>
            </w:r>
            <w:r>
              <w:fldChar w:fldCharType="separate"/>
            </w:r>
            <w:r>
              <w:rPr>
                <w:rStyle w:val="28"/>
                <w:rFonts w:ascii="Times New Roman" w:hAnsi="Times New Roman" w:eastAsia="仿宋" w:cs="Times New Roman"/>
                <w:color w:val="auto"/>
                <w:sz w:val="22"/>
              </w:rPr>
              <w:t>编制资产评估计划</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4</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进行评估现场调查</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eastAsia="仿宋" w:cs="Times New Roman"/>
                <w:sz w:val="22"/>
                <w:u w:val="single"/>
              </w:rPr>
            </w:pPr>
            <w:r>
              <w:fldChar w:fldCharType="begin"/>
            </w:r>
            <w:r>
              <w:instrText xml:space="preserve"> HYPERLINK \l "操作说明!A123" </w:instrText>
            </w:r>
            <w:r>
              <w:fldChar w:fldCharType="separate"/>
            </w:r>
            <w:r>
              <w:rPr>
                <w:rStyle w:val="28"/>
                <w:rFonts w:ascii="Times New Roman" w:hAnsi="Times New Roman" w:eastAsia="仿宋" w:cs="Times New Roman"/>
                <w:color w:val="auto"/>
                <w:sz w:val="22"/>
              </w:rPr>
              <w:t>获取委托人或者其他相关当事人提供的资产评估申报表等</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"操作说明!A133" </w:instrText>
            </w:r>
            <w:r>
              <w:fldChar w:fldCharType="separate"/>
            </w:r>
            <w:r>
              <w:rPr>
                <w:rStyle w:val="28"/>
                <w:rFonts w:ascii="Times New Roman" w:hAnsi="Times New Roman" w:eastAsia="仿宋" w:cs="Times New Roman"/>
                <w:color w:val="auto"/>
                <w:sz w:val="22"/>
              </w:rPr>
              <w:t>选择与评估项目相适应的现场调查方式</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"操作说明!A146" </w:instrText>
            </w:r>
            <w:r>
              <w:fldChar w:fldCharType="separate"/>
            </w:r>
            <w:r>
              <w:rPr>
                <w:rStyle w:val="28"/>
                <w:rFonts w:ascii="Times New Roman" w:hAnsi="Times New Roman" w:eastAsia="仿宋" w:cs="Times New Roman"/>
                <w:color w:val="auto"/>
                <w:sz w:val="22"/>
              </w:rPr>
              <w:t>与相关人员的访谈记录</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"操作说明!A157" </w:instrText>
            </w:r>
            <w:r>
              <w:fldChar w:fldCharType="separate"/>
            </w:r>
            <w:r>
              <w:rPr>
                <w:rStyle w:val="28"/>
                <w:rFonts w:ascii="Times New Roman" w:hAnsi="Times New Roman" w:eastAsia="仿宋" w:cs="Times New Roman"/>
                <w:color w:val="auto"/>
                <w:sz w:val="22"/>
              </w:rPr>
              <w:t>无形资产产品生产经营和财务资料调查记录</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"操作说明!A167" </w:instrText>
            </w:r>
            <w:r>
              <w:fldChar w:fldCharType="separate"/>
            </w:r>
            <w:r>
              <w:rPr>
                <w:rStyle w:val="28"/>
                <w:rFonts w:ascii="Times New Roman" w:hAnsi="Times New Roman" w:eastAsia="仿宋" w:cs="Times New Roman"/>
                <w:color w:val="auto"/>
                <w:sz w:val="22"/>
              </w:rPr>
              <w:t>（现场）调查受到客观限制时采取的其他适用方法和记录</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5</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收集整理评估资料，包括下列内容：</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收集以下评估资料，并进行核查验证</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"操作说明!A180" </w:instrText>
            </w:r>
            <w:r>
              <w:fldChar w:fldCharType="separate"/>
            </w:r>
            <w:r>
              <w:rPr>
                <w:rStyle w:val="28"/>
                <w:rFonts w:ascii="Times New Roman" w:hAnsi="Times New Roman" w:eastAsia="仿宋" w:cs="Times New Roman"/>
                <w:color w:val="auto"/>
                <w:sz w:val="22"/>
              </w:rPr>
              <w:t>收集无形资产基本资料，并进行核查验证</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"操作说明!A182" </w:instrText>
            </w:r>
            <w:r>
              <w:fldChar w:fldCharType="separate"/>
            </w:r>
            <w:r>
              <w:rPr>
                <w:rStyle w:val="28"/>
                <w:rFonts w:ascii="Times New Roman" w:hAnsi="Times New Roman" w:eastAsia="仿宋" w:cs="Times New Roman"/>
                <w:color w:val="auto"/>
                <w:sz w:val="22"/>
              </w:rPr>
              <w:t>无形资产权利的法律文件、权属有效性文件或其他证明资料</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"操作说明!A195" </w:instrText>
            </w:r>
            <w:r>
              <w:fldChar w:fldCharType="separate"/>
            </w:r>
            <w:r>
              <w:rPr>
                <w:rStyle w:val="28"/>
                <w:rFonts w:ascii="Times New Roman" w:hAnsi="Times New Roman" w:eastAsia="仿宋" w:cs="Times New Roman"/>
                <w:color w:val="auto"/>
                <w:sz w:val="22"/>
              </w:rPr>
              <w:t>无形资产的性质和特点，历史取得和目前的使用状况</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"操作说明!A206" </w:instrText>
            </w:r>
            <w:r>
              <w:fldChar w:fldCharType="separate"/>
            </w:r>
            <w:r>
              <w:rPr>
                <w:rStyle w:val="28"/>
                <w:rFonts w:ascii="Times New Roman" w:hAnsi="Times New Roman" w:eastAsia="仿宋" w:cs="Times New Roman"/>
                <w:color w:val="auto"/>
                <w:sz w:val="22"/>
              </w:rPr>
              <w:t>无形资产实施的地域范围、领域范围与获利方式</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"操作说明!A217" </w:instrText>
            </w:r>
            <w:r>
              <w:fldChar w:fldCharType="separate"/>
            </w:r>
            <w:r>
              <w:rPr>
                <w:rStyle w:val="28"/>
                <w:rFonts w:ascii="Times New Roman" w:hAnsi="Times New Roman" w:eastAsia="仿宋" w:cs="Times New Roman"/>
                <w:color w:val="auto"/>
                <w:sz w:val="22"/>
              </w:rPr>
              <w:t>无形资产以往的交易、质押、出资情况</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Ⅴ</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"操作说明!A227" </w:instrText>
            </w:r>
            <w:r>
              <w:fldChar w:fldCharType="separate"/>
            </w:r>
            <w:r>
              <w:rPr>
                <w:rStyle w:val="28"/>
                <w:rFonts w:ascii="Times New Roman" w:hAnsi="Times New Roman" w:eastAsia="仿宋" w:cs="Times New Roman"/>
                <w:color w:val="auto"/>
                <w:sz w:val="22"/>
              </w:rPr>
              <w:t>类似无形资产的市场价格信息</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Ⅵ</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"操作说明!A237" </w:instrText>
            </w:r>
            <w:r>
              <w:fldChar w:fldCharType="separate"/>
            </w:r>
            <w:r>
              <w:rPr>
                <w:rStyle w:val="28"/>
                <w:rFonts w:ascii="Times New Roman" w:hAnsi="Times New Roman" w:eastAsia="仿宋" w:cs="Times New Roman"/>
                <w:color w:val="auto"/>
                <w:sz w:val="22"/>
              </w:rPr>
              <w:t>宏观经济环境、行业状况及发展前景、企业状况及发展前景</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Ⅶ</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"操作说明!A250" </w:instrText>
            </w:r>
            <w:r>
              <w:fldChar w:fldCharType="separate"/>
            </w:r>
            <w:r>
              <w:rPr>
                <w:rStyle w:val="28"/>
                <w:rFonts w:ascii="Times New Roman" w:hAnsi="Times New Roman" w:eastAsia="仿宋" w:cs="Times New Roman"/>
                <w:color w:val="auto"/>
                <w:sz w:val="22"/>
              </w:rPr>
              <w:t>评估目的对应的经济行为文件</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02"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Ⅷ</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"操作说明!A259" </w:instrText>
            </w:r>
            <w:r>
              <w:fldChar w:fldCharType="separate"/>
            </w:r>
            <w:r>
              <w:rPr>
                <w:rStyle w:val="28"/>
                <w:rFonts w:ascii="Times New Roman" w:hAnsi="Times New Roman" w:eastAsia="仿宋" w:cs="Times New Roman"/>
                <w:color w:val="auto"/>
                <w:sz w:val="22"/>
              </w:rPr>
              <w:t>委托人和产权持有人编写的《企业关于进行资产评估有关事项的说明》</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"操作说明!A268" </w:instrText>
            </w:r>
            <w:r>
              <w:fldChar w:fldCharType="separate"/>
            </w:r>
            <w:r>
              <w:rPr>
                <w:rStyle w:val="28"/>
                <w:rFonts w:ascii="Times New Roman" w:hAnsi="Times New Roman" w:eastAsia="仿宋" w:cs="Times New Roman"/>
                <w:color w:val="auto"/>
                <w:sz w:val="22"/>
              </w:rPr>
              <w:t>专利资产评估业务需收集的其他资料，并进行核查验证</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"操作说明!A287" </w:instrText>
            </w:r>
            <w:r>
              <w:fldChar w:fldCharType="separate"/>
            </w:r>
            <w:r>
              <w:rPr>
                <w:rStyle w:val="28"/>
                <w:rFonts w:ascii="Times New Roman" w:hAnsi="Times New Roman" w:eastAsia="仿宋" w:cs="Times New Roman"/>
                <w:color w:val="auto"/>
                <w:sz w:val="22"/>
              </w:rPr>
              <w:t>著作权资产评估业务需收集的其他资料，并进行核查验证</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"操作说明!A324" </w:instrText>
            </w:r>
            <w:r>
              <w:fldChar w:fldCharType="separate"/>
            </w:r>
            <w:r>
              <w:rPr>
                <w:rStyle w:val="28"/>
                <w:rFonts w:ascii="Times New Roman" w:hAnsi="Times New Roman" w:eastAsia="仿宋" w:cs="Times New Roman"/>
                <w:color w:val="auto"/>
                <w:sz w:val="22"/>
              </w:rPr>
              <w:t>商标资产评估业务需收集的其他资料，并进行核查验证</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分析整理所收集评估资料的过程、依据和结果</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"操作说明!A356" </w:instrText>
            </w:r>
            <w:r>
              <w:fldChar w:fldCharType="separate"/>
            </w:r>
            <w:r>
              <w:rPr>
                <w:rStyle w:val="28"/>
                <w:rFonts w:ascii="Times New Roman" w:hAnsi="Times New Roman" w:eastAsia="仿宋" w:cs="Times New Roman"/>
                <w:color w:val="auto"/>
                <w:sz w:val="22"/>
              </w:rPr>
              <w:t>无形资产是否能带来持续的可辨识经济利益；是否与其他无形资产共同发挥作用</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"操作说明!A367" </w:instrText>
            </w:r>
            <w:r>
              <w:fldChar w:fldCharType="separate"/>
            </w:r>
            <w:r>
              <w:rPr>
                <w:rStyle w:val="28"/>
                <w:rFonts w:ascii="Times New Roman" w:hAnsi="Times New Roman" w:eastAsia="仿宋" w:cs="Times New Roman"/>
                <w:color w:val="auto"/>
                <w:sz w:val="22"/>
              </w:rPr>
              <w:t>无形资产的剩余经济寿命和法定寿命，无形资产的保护措施</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"操作说明!A377" </w:instrText>
            </w:r>
            <w:r>
              <w:fldChar w:fldCharType="separate"/>
            </w:r>
            <w:r>
              <w:rPr>
                <w:rStyle w:val="28"/>
                <w:rFonts w:ascii="Times New Roman" w:hAnsi="Times New Roman" w:eastAsia="仿宋" w:cs="Times New Roman"/>
                <w:color w:val="auto"/>
                <w:sz w:val="22"/>
              </w:rPr>
              <w:t>无形资产实施过程中所受到的法律、行政法规或其他限制</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6</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评定估算形成结论，包括下列内容：</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"操作说明!A388" </w:instrText>
            </w:r>
            <w:r>
              <w:fldChar w:fldCharType="separate"/>
            </w:r>
            <w:r>
              <w:rPr>
                <w:rStyle w:val="28"/>
                <w:rFonts w:ascii="Times New Roman" w:hAnsi="Times New Roman" w:eastAsia="仿宋" w:cs="Times New Roman"/>
                <w:color w:val="auto"/>
                <w:sz w:val="22"/>
              </w:rPr>
              <w:t>评估方法选择的适用性分析</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"操作说明!A396" </w:instrText>
            </w:r>
            <w:r>
              <w:fldChar w:fldCharType="separate"/>
            </w:r>
            <w:r>
              <w:rPr>
                <w:rStyle w:val="28"/>
                <w:rFonts w:ascii="Times New Roman" w:hAnsi="Times New Roman" w:eastAsia="仿宋" w:cs="Times New Roman"/>
                <w:color w:val="auto"/>
                <w:sz w:val="22"/>
              </w:rPr>
              <w:t>使用成本法评估时：</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"操作说明!A398" </w:instrText>
            </w:r>
            <w:r>
              <w:fldChar w:fldCharType="separate"/>
            </w:r>
            <w:r>
              <w:rPr>
                <w:rStyle w:val="28"/>
                <w:rFonts w:ascii="Times New Roman" w:hAnsi="Times New Roman" w:eastAsia="仿宋" w:cs="Times New Roman"/>
                <w:color w:val="auto"/>
                <w:sz w:val="22"/>
              </w:rPr>
              <w:t>无形资产重置成本的要素构成及资料来源</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"操作说明!A407" </w:instrText>
            </w:r>
            <w:r>
              <w:fldChar w:fldCharType="separate"/>
            </w:r>
            <w:r>
              <w:rPr>
                <w:rStyle w:val="28"/>
                <w:rFonts w:ascii="Times New Roman" w:hAnsi="Times New Roman" w:eastAsia="仿宋" w:cs="Times New Roman"/>
                <w:color w:val="auto"/>
                <w:sz w:val="22"/>
              </w:rPr>
              <w:t>无形资产重置成本的计算过程</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"操作说明!A416" </w:instrText>
            </w:r>
            <w:r>
              <w:fldChar w:fldCharType="separate"/>
            </w:r>
            <w:r>
              <w:rPr>
                <w:rStyle w:val="28"/>
                <w:rFonts w:ascii="Times New Roman" w:hAnsi="Times New Roman" w:eastAsia="仿宋" w:cs="Times New Roman"/>
                <w:color w:val="auto"/>
                <w:sz w:val="22"/>
              </w:rPr>
              <w:t>无形资产贬值的确定</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"操作说明!A425" </w:instrText>
            </w:r>
            <w:r>
              <w:fldChar w:fldCharType="separate"/>
            </w:r>
            <w:r>
              <w:rPr>
                <w:rStyle w:val="28"/>
                <w:rFonts w:ascii="Times New Roman" w:hAnsi="Times New Roman" w:eastAsia="仿宋" w:cs="Times New Roman"/>
                <w:color w:val="auto"/>
                <w:sz w:val="22"/>
              </w:rPr>
              <w:t>使用收益法评估时：</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1020"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"操作说明!A428" </w:instrText>
            </w:r>
            <w:r>
              <w:fldChar w:fldCharType="separate"/>
            </w:r>
            <w:r>
              <w:rPr>
                <w:rStyle w:val="28"/>
                <w:rFonts w:ascii="Times New Roman" w:hAnsi="Times New Roman" w:eastAsia="仿宋" w:cs="Times New Roman"/>
                <w:color w:val="auto"/>
                <w:sz w:val="22"/>
              </w:rPr>
              <w:t>合理估算无形资产带来的预期收益，区分评估对象无形资产与其他资产所获得收益，分析与之有关的预期变动、收益期限，与收益有关的成本费用、配套资产、现金流量、风险因素</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"操作说明!A437" </w:instrText>
            </w:r>
            <w:r>
              <w:fldChar w:fldCharType="separate"/>
            </w:r>
            <w:r>
              <w:rPr>
                <w:rStyle w:val="28"/>
                <w:rFonts w:ascii="Times New Roman" w:hAnsi="Times New Roman" w:eastAsia="仿宋" w:cs="Times New Roman"/>
                <w:color w:val="auto"/>
                <w:sz w:val="22"/>
              </w:rPr>
              <w:t>预期收益口径与折现率口径保持一致</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02"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"操作说明!A447" </w:instrText>
            </w:r>
            <w:r>
              <w:fldChar w:fldCharType="separate"/>
            </w:r>
            <w:r>
              <w:rPr>
                <w:rStyle w:val="28"/>
                <w:rFonts w:ascii="Times New Roman" w:hAnsi="Times New Roman" w:eastAsia="仿宋" w:cs="Times New Roman"/>
                <w:color w:val="auto"/>
                <w:sz w:val="22"/>
              </w:rPr>
              <w:t>根据无形资产实施过程中的风险因素及货币时间价值等因素合理估算折现率</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702"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"操作说明!A457" </w:instrText>
            </w:r>
            <w:r>
              <w:fldChar w:fldCharType="separate"/>
            </w:r>
            <w:r>
              <w:rPr>
                <w:rStyle w:val="28"/>
                <w:rFonts w:ascii="Times New Roman" w:hAnsi="Times New Roman" w:eastAsia="仿宋" w:cs="Times New Roman"/>
                <w:color w:val="auto"/>
                <w:sz w:val="22"/>
              </w:rPr>
              <w:t>综合分析无形资产的剩余经济寿命、法定寿命及其他相关因素，合理确定收益期限</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"操作说明!A466" </w:instrText>
            </w:r>
            <w:r>
              <w:fldChar w:fldCharType="separate"/>
            </w:r>
            <w:r>
              <w:rPr>
                <w:rStyle w:val="28"/>
                <w:rFonts w:ascii="Times New Roman" w:hAnsi="Times New Roman" w:eastAsia="仿宋" w:cs="Times New Roman"/>
                <w:color w:val="auto"/>
                <w:sz w:val="22"/>
              </w:rPr>
              <w:t>使用市场法评估时：</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"操作说明!A468" </w:instrText>
            </w:r>
            <w:r>
              <w:fldChar w:fldCharType="separate"/>
            </w:r>
            <w:r>
              <w:rPr>
                <w:rStyle w:val="28"/>
                <w:rFonts w:ascii="Times New Roman" w:hAnsi="Times New Roman" w:eastAsia="仿宋" w:cs="Times New Roman"/>
                <w:color w:val="auto"/>
                <w:sz w:val="22"/>
              </w:rPr>
              <w:t>选择具有合理比较基础的可比无形资产交易案例</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"操作说明!A477" </w:instrText>
            </w:r>
            <w:r>
              <w:fldChar w:fldCharType="separate"/>
            </w:r>
            <w:r>
              <w:rPr>
                <w:rStyle w:val="28"/>
                <w:rFonts w:ascii="Times New Roman" w:hAnsi="Times New Roman" w:eastAsia="仿宋" w:cs="Times New Roman"/>
                <w:color w:val="auto"/>
                <w:sz w:val="22"/>
              </w:rPr>
              <w:t>可比交易案例情况</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"操作说明!A486" </w:instrText>
            </w:r>
            <w:r>
              <w:fldChar w:fldCharType="separate"/>
            </w:r>
            <w:r>
              <w:rPr>
                <w:rStyle w:val="28"/>
                <w:rFonts w:ascii="Times New Roman" w:hAnsi="Times New Roman" w:eastAsia="仿宋" w:cs="Times New Roman"/>
                <w:color w:val="auto"/>
                <w:sz w:val="22"/>
              </w:rPr>
              <w:t>对可比交易案例和被评估无形资产以往交易信息进行必要调整</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"操作说明!A495" </w:instrText>
            </w:r>
            <w:r>
              <w:fldChar w:fldCharType="separate"/>
            </w:r>
            <w:r>
              <w:rPr>
                <w:rStyle w:val="28"/>
                <w:rFonts w:ascii="Times New Roman" w:hAnsi="Times New Roman" w:eastAsia="仿宋" w:cs="Times New Roman"/>
                <w:color w:val="auto"/>
                <w:sz w:val="22"/>
              </w:rPr>
              <w:t>评定估算过程和结果正确</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0"/>
                <w:szCs w:val="20"/>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0"/>
                <w:szCs w:val="20"/>
              </w:rPr>
            </w:pPr>
          </w:p>
        </w:tc>
      </w:tr>
      <w:tr>
        <w:tblPrEx>
          <w:tblCellMar>
            <w:top w:w="0" w:type="dxa"/>
            <w:left w:w="108" w:type="dxa"/>
            <w:bottom w:w="0" w:type="dxa"/>
            <w:right w:w="108" w:type="dxa"/>
          </w:tblCellMar>
        </w:tblPrEx>
        <w:trPr>
          <w:trHeight w:val="300"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7</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评估机构内部审核工作</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300"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"操作说明!A507" </w:instrText>
            </w:r>
            <w:r>
              <w:fldChar w:fldCharType="separate"/>
            </w:r>
            <w:r>
              <w:rPr>
                <w:rStyle w:val="28"/>
                <w:rFonts w:ascii="Times New Roman" w:hAnsi="Times New Roman" w:eastAsia="仿宋" w:cs="Times New Roman"/>
                <w:color w:val="auto"/>
                <w:sz w:val="22"/>
              </w:rPr>
              <w:t>审核意见记录</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8</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整理归集评估档案</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rPr>
                <w:rFonts w:ascii="Times New Roman" w:hAnsi="Times New Roman" w:eastAsia="仿宋" w:cs="Times New Roman"/>
                <w:sz w:val="24"/>
                <w:szCs w:val="24"/>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"操作说明!A527" </w:instrText>
            </w:r>
            <w:r>
              <w:fldChar w:fldCharType="separate"/>
            </w:r>
            <w:r>
              <w:rPr>
                <w:rStyle w:val="28"/>
                <w:rFonts w:ascii="Times New Roman" w:hAnsi="Times New Roman" w:eastAsia="仿宋" w:cs="Times New Roman"/>
                <w:color w:val="auto"/>
                <w:sz w:val="22"/>
              </w:rPr>
              <w:t>各种形式的工作底稿内容是否完整、一致</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nil"/>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"操作说明!A542" </w:instrText>
            </w:r>
            <w:r>
              <w:fldChar w:fldCharType="separate"/>
            </w:r>
            <w:r>
              <w:rPr>
                <w:rStyle w:val="28"/>
                <w:rFonts w:ascii="Times New Roman" w:hAnsi="Times New Roman" w:eastAsia="仿宋" w:cs="Times New Roman"/>
                <w:color w:val="auto"/>
                <w:sz w:val="22"/>
              </w:rPr>
              <w:t>资产评估档案的归集</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835"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"操作说明!A554" </w:instrText>
            </w:r>
            <w:r>
              <w:fldChar w:fldCharType="separate"/>
            </w:r>
            <w:r>
              <w:rPr>
                <w:rStyle w:val="28"/>
                <w:rFonts w:ascii="Times New Roman" w:hAnsi="Times New Roman" w:eastAsia="仿宋" w:cs="Times New Roman"/>
                <w:color w:val="auto"/>
                <w:sz w:val="22"/>
              </w:rPr>
              <w:t>资产评估档案的管理</w:t>
            </w:r>
            <w:r>
              <w:rPr>
                <w:rStyle w:val="28"/>
                <w:rFonts w:ascii="Times New Roman" w:hAnsi="Times New Roman" w:eastAsia="仿宋" w:cs="Times New Roman"/>
                <w:color w:val="auto"/>
                <w:sz w:val="22"/>
              </w:rPr>
              <w:fldChar w:fldCharType="end"/>
            </w:r>
          </w:p>
        </w:tc>
        <w:tc>
          <w:tcPr>
            <w:tcW w:w="49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238"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835" w:type="pct"/>
            <w:tcBorders>
              <w:top w:val="nil"/>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评估工作底稿规范性和完整性存在重点关注问题得分项数合计：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835" w:type="pct"/>
            <w:tcBorders>
              <w:top w:val="nil"/>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0分项数小计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835" w:type="pct"/>
            <w:tcBorders>
              <w:top w:val="nil"/>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835" w:type="pct"/>
            <w:tcBorders>
              <w:top w:val="nil"/>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835" w:type="pct"/>
            <w:tcBorders>
              <w:top w:val="nil"/>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3分（含3分）以下项平均得分</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2分（含2分）以下项平均得分</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207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Times New Roman"/>
                <w:sz w:val="22"/>
              </w:rPr>
            </w:pPr>
          </w:p>
        </w:tc>
        <w:tc>
          <w:tcPr>
            <w:tcW w:w="4563"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Times New Roman" w:hAnsi="Times New Roman" w:eastAsia="仿宋" w:cs="Times New Roman"/>
                <w:sz w:val="22"/>
              </w:rPr>
            </w:pPr>
            <w:r>
              <w:rPr>
                <w:rFonts w:ascii="Times New Roman" w:hAnsi="Times New Roman" w:eastAsia="仿宋" w:cs="Times New Roman"/>
                <w:kern w:val="0"/>
                <w:sz w:val="22"/>
                <w:lang w:bidi="ar"/>
              </w:rPr>
              <w:t>评估工作底稿规范性和完备性检查意见（指出存在的主要问题）：</w:t>
            </w:r>
          </w:p>
        </w:tc>
      </w:tr>
      <w:tr>
        <w:tblPrEx>
          <w:tblCellMar>
            <w:top w:w="0" w:type="dxa"/>
            <w:left w:w="108" w:type="dxa"/>
            <w:bottom w:w="0" w:type="dxa"/>
            <w:right w:w="108" w:type="dxa"/>
          </w:tblCellMar>
        </w:tblPrEx>
        <w:trPr>
          <w:trHeight w:val="409" w:hRule="atLeast"/>
        </w:trPr>
        <w:tc>
          <w:tcPr>
            <w:tcW w:w="5000"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二、评估报告内容规范性及完备性</w:t>
            </w: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9</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"操作说明!A567" </w:instrText>
            </w:r>
            <w:r>
              <w:fldChar w:fldCharType="separate"/>
            </w:r>
            <w:r>
              <w:rPr>
                <w:rStyle w:val="28"/>
                <w:rFonts w:ascii="Times New Roman" w:hAnsi="Times New Roman" w:eastAsia="仿宋" w:cs="Times New Roman"/>
                <w:color w:val="auto"/>
                <w:sz w:val="22"/>
              </w:rPr>
              <w:t>资产评估报告主要内容完整性</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10</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"操作说明!A584" </w:instrText>
            </w:r>
            <w:r>
              <w:fldChar w:fldCharType="separate"/>
            </w:r>
            <w:r>
              <w:rPr>
                <w:rStyle w:val="28"/>
                <w:rFonts w:ascii="Times New Roman" w:hAnsi="Times New Roman" w:eastAsia="仿宋" w:cs="Times New Roman"/>
                <w:color w:val="auto"/>
                <w:sz w:val="22"/>
              </w:rPr>
              <w:t>资产评估报告正文的完整性</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11</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"操作说明!A605" </w:instrText>
            </w:r>
            <w:r>
              <w:fldChar w:fldCharType="separate"/>
            </w:r>
            <w:r>
              <w:rPr>
                <w:rStyle w:val="28"/>
                <w:rFonts w:ascii="Times New Roman" w:hAnsi="Times New Roman" w:eastAsia="仿宋" w:cs="Times New Roman"/>
                <w:color w:val="auto"/>
                <w:sz w:val="22"/>
              </w:rPr>
              <w:t>委托人、产权持有人及其他资产评估报告使用人</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12</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"操作说明!A615" </w:instrText>
            </w:r>
            <w:r>
              <w:fldChar w:fldCharType="separate"/>
            </w:r>
            <w:r>
              <w:rPr>
                <w:rStyle w:val="28"/>
                <w:rFonts w:ascii="Times New Roman" w:hAnsi="Times New Roman" w:eastAsia="仿宋" w:cs="Times New Roman"/>
                <w:color w:val="auto"/>
                <w:sz w:val="22"/>
              </w:rPr>
              <w:t>评估目的</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13</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"操作说明!A627" </w:instrText>
            </w:r>
            <w:r>
              <w:fldChar w:fldCharType="separate"/>
            </w:r>
            <w:r>
              <w:rPr>
                <w:rStyle w:val="28"/>
                <w:rFonts w:ascii="Times New Roman" w:hAnsi="Times New Roman" w:eastAsia="仿宋" w:cs="Times New Roman"/>
                <w:color w:val="auto"/>
                <w:sz w:val="22"/>
              </w:rPr>
              <w:t>评估对象和评估范围</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14</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"操作说明!A639" </w:instrText>
            </w:r>
            <w:r>
              <w:fldChar w:fldCharType="separate"/>
            </w:r>
            <w:r>
              <w:rPr>
                <w:rStyle w:val="28"/>
                <w:rFonts w:ascii="Times New Roman" w:hAnsi="Times New Roman" w:eastAsia="仿宋" w:cs="Times New Roman"/>
                <w:color w:val="auto"/>
                <w:sz w:val="22"/>
              </w:rPr>
              <w:t>价值类型</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15</w:t>
            </w:r>
          </w:p>
        </w:tc>
        <w:tc>
          <w:tcPr>
            <w:tcW w:w="383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"操作说明!A651" </w:instrText>
            </w:r>
            <w:r>
              <w:fldChar w:fldCharType="separate"/>
            </w:r>
            <w:r>
              <w:rPr>
                <w:rStyle w:val="28"/>
                <w:rFonts w:ascii="Times New Roman" w:hAnsi="Times New Roman" w:eastAsia="仿宋" w:cs="Times New Roman"/>
                <w:color w:val="auto"/>
                <w:sz w:val="22"/>
              </w:rPr>
              <w:t>评估基准日</w:t>
            </w:r>
            <w:r>
              <w:rPr>
                <w:rStyle w:val="28"/>
                <w:rFonts w:ascii="Times New Roman" w:hAnsi="Times New Roman" w:eastAsia="仿宋" w:cs="Times New Roman"/>
                <w:color w:val="auto"/>
                <w:sz w:val="22"/>
              </w:rPr>
              <w:fldChar w:fldCharType="end"/>
            </w:r>
          </w:p>
        </w:tc>
        <w:tc>
          <w:tcPr>
            <w:tcW w:w="49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238"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16</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"操作说明!A660" </w:instrText>
            </w:r>
            <w:r>
              <w:fldChar w:fldCharType="separate"/>
            </w:r>
            <w:r>
              <w:rPr>
                <w:rStyle w:val="28"/>
                <w:rFonts w:ascii="Times New Roman" w:hAnsi="Times New Roman" w:eastAsia="仿宋" w:cs="Times New Roman"/>
                <w:color w:val="auto"/>
                <w:sz w:val="22"/>
              </w:rPr>
              <w:t>评估依据</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17</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"操作说明!A672" </w:instrText>
            </w:r>
            <w:r>
              <w:fldChar w:fldCharType="separate"/>
            </w:r>
            <w:r>
              <w:rPr>
                <w:rStyle w:val="28"/>
                <w:rFonts w:ascii="Times New Roman" w:hAnsi="Times New Roman" w:eastAsia="仿宋" w:cs="Times New Roman"/>
                <w:color w:val="auto"/>
                <w:sz w:val="22"/>
              </w:rPr>
              <w:t>评估方法</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18</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"操作说明!A683" </w:instrText>
            </w:r>
            <w:r>
              <w:fldChar w:fldCharType="separate"/>
            </w:r>
            <w:r>
              <w:rPr>
                <w:rStyle w:val="28"/>
                <w:rFonts w:ascii="Times New Roman" w:hAnsi="Times New Roman" w:eastAsia="仿宋" w:cs="Times New Roman"/>
                <w:color w:val="auto"/>
                <w:sz w:val="22"/>
              </w:rPr>
              <w:t>评估程序实施过程和情况</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19</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有关评估项目的说明内容：</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无形资产基本情况说明</w:t>
            </w:r>
          </w:p>
        </w:tc>
        <w:tc>
          <w:tcPr>
            <w:tcW w:w="490" w:type="pct"/>
            <w:tcBorders>
              <w:top w:val="single" w:color="000000" w:sz="4" w:space="0"/>
              <w:left w:val="single" w:color="000000" w:sz="4" w:space="0"/>
              <w:bottom w:val="single" w:color="000000" w:sz="4" w:space="0"/>
              <w:right w:val="single" w:color="000000" w:sz="4" w:space="0"/>
            </w:tcBorders>
            <w:shd w:val="clear" w:color="auto" w:fill="BFBFBF"/>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"操作说明!A698" </w:instrText>
            </w:r>
            <w:r>
              <w:fldChar w:fldCharType="separate"/>
            </w:r>
            <w:r>
              <w:rPr>
                <w:rStyle w:val="28"/>
                <w:rFonts w:ascii="Times New Roman" w:hAnsi="Times New Roman" w:eastAsia="仿宋" w:cs="Times New Roman"/>
                <w:color w:val="auto"/>
                <w:sz w:val="22"/>
              </w:rPr>
              <w:t>无形资产的性质、权利状况及限制条件</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"操作说明!A709" </w:instrText>
            </w:r>
            <w:r>
              <w:fldChar w:fldCharType="separate"/>
            </w:r>
            <w:r>
              <w:rPr>
                <w:rStyle w:val="28"/>
                <w:rFonts w:ascii="Times New Roman" w:hAnsi="Times New Roman" w:eastAsia="仿宋" w:cs="Times New Roman"/>
                <w:color w:val="auto"/>
                <w:sz w:val="22"/>
              </w:rPr>
              <w:t>无形资产实施的地域限制范围、领域限制及法律法规限制条件</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"操作说明!A719" </w:instrText>
            </w:r>
            <w:r>
              <w:fldChar w:fldCharType="separate"/>
            </w:r>
            <w:r>
              <w:rPr>
                <w:rStyle w:val="28"/>
                <w:rFonts w:ascii="Times New Roman" w:hAnsi="Times New Roman" w:eastAsia="仿宋" w:cs="Times New Roman"/>
                <w:color w:val="auto"/>
                <w:sz w:val="22"/>
              </w:rPr>
              <w:t>与无形资产相关的宏观经济和行业的前景</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④</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"操作说明!A729" </w:instrText>
            </w:r>
            <w:r>
              <w:fldChar w:fldCharType="separate"/>
            </w:r>
            <w:r>
              <w:rPr>
                <w:rStyle w:val="28"/>
                <w:rFonts w:ascii="Times New Roman" w:hAnsi="Times New Roman" w:eastAsia="仿宋" w:cs="Times New Roman"/>
                <w:color w:val="auto"/>
                <w:sz w:val="22"/>
              </w:rPr>
              <w:t>无形资产的历史、现实状况与发展前景</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⑤</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"操作说明!A739" </w:instrText>
            </w:r>
            <w:r>
              <w:fldChar w:fldCharType="separate"/>
            </w:r>
            <w:r>
              <w:rPr>
                <w:rStyle w:val="28"/>
                <w:rFonts w:ascii="Times New Roman" w:hAnsi="Times New Roman" w:eastAsia="仿宋" w:cs="Times New Roman"/>
                <w:color w:val="auto"/>
                <w:sz w:val="22"/>
              </w:rPr>
              <w:t>评估依据的信息来源</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⑥</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"操作说明!A749" </w:instrText>
            </w:r>
            <w:r>
              <w:fldChar w:fldCharType="separate"/>
            </w:r>
            <w:r>
              <w:rPr>
                <w:rStyle w:val="28"/>
                <w:rFonts w:ascii="Times New Roman" w:hAnsi="Times New Roman" w:eastAsia="仿宋" w:cs="Times New Roman"/>
                <w:color w:val="auto"/>
                <w:sz w:val="22"/>
              </w:rPr>
              <w:t>其他必要信息</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"操作说明!A759" </w:instrText>
            </w:r>
            <w:r>
              <w:fldChar w:fldCharType="separate"/>
            </w:r>
            <w:r>
              <w:rPr>
                <w:rStyle w:val="28"/>
                <w:rFonts w:ascii="Times New Roman" w:hAnsi="Times New Roman" w:eastAsia="仿宋" w:cs="Times New Roman"/>
                <w:color w:val="auto"/>
                <w:sz w:val="22"/>
              </w:rPr>
              <w:t>专利资产评估业务需说明的其他内容</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"操作说明!A779" </w:instrText>
            </w:r>
            <w:r>
              <w:fldChar w:fldCharType="separate"/>
            </w:r>
            <w:r>
              <w:rPr>
                <w:rStyle w:val="28"/>
                <w:rFonts w:ascii="Times New Roman" w:hAnsi="Times New Roman" w:eastAsia="仿宋" w:cs="Times New Roman"/>
                <w:color w:val="auto"/>
                <w:sz w:val="22"/>
              </w:rPr>
              <w:t>著作权资产评估业务需说明的其他内容</w:t>
            </w:r>
            <w:r>
              <w:rPr>
                <w:rStyle w:val="28"/>
                <w:rFonts w:ascii="Times New Roman" w:hAnsi="Times New Roman" w:eastAsia="仿宋" w:cs="Times New Roman"/>
                <w:color w:val="auto"/>
                <w:sz w:val="22"/>
              </w:rPr>
              <w:fldChar w:fldCharType="end"/>
            </w:r>
          </w:p>
        </w:tc>
        <w:tc>
          <w:tcPr>
            <w:tcW w:w="49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238"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"操作说明!A808" </w:instrText>
            </w:r>
            <w:r>
              <w:fldChar w:fldCharType="separate"/>
            </w:r>
            <w:r>
              <w:rPr>
                <w:rStyle w:val="28"/>
                <w:rFonts w:ascii="Times New Roman" w:hAnsi="Times New Roman" w:eastAsia="仿宋" w:cs="Times New Roman"/>
                <w:color w:val="auto"/>
                <w:sz w:val="22"/>
              </w:rPr>
              <w:t>商标资产评估业务需说明的其他内容</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20</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有关评估方法的说明内容：</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"操作说明!A835" </w:instrText>
            </w:r>
            <w:r>
              <w:fldChar w:fldCharType="separate"/>
            </w:r>
            <w:r>
              <w:rPr>
                <w:rStyle w:val="28"/>
                <w:rFonts w:ascii="Times New Roman" w:hAnsi="Times New Roman" w:eastAsia="仿宋" w:cs="Times New Roman"/>
                <w:color w:val="auto"/>
                <w:sz w:val="22"/>
              </w:rPr>
              <w:t>评估方法中的运算和逻辑推理方式</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"操作说明!A845" </w:instrText>
            </w:r>
            <w:r>
              <w:fldChar w:fldCharType="separate"/>
            </w:r>
            <w:r>
              <w:rPr>
                <w:rStyle w:val="28"/>
                <w:rFonts w:ascii="Times New Roman" w:hAnsi="Times New Roman" w:eastAsia="仿宋" w:cs="Times New Roman"/>
                <w:color w:val="auto"/>
                <w:sz w:val="22"/>
              </w:rPr>
              <w:t>各重要参数的来源、分析、比较与测算过程</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①★</w:t>
            </w:r>
          </w:p>
        </w:tc>
        <w:tc>
          <w:tcPr>
            <w:tcW w:w="3835"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"操作说明!A847" </w:instrText>
            </w:r>
            <w:r>
              <w:fldChar w:fldCharType="separate"/>
            </w:r>
            <w:r>
              <w:rPr>
                <w:rStyle w:val="28"/>
                <w:rFonts w:ascii="Times New Roman" w:hAnsi="Times New Roman" w:eastAsia="仿宋" w:cs="Times New Roman"/>
                <w:color w:val="auto"/>
                <w:sz w:val="22"/>
              </w:rPr>
              <w:t>采用成本法评估</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"操作说明!A849" </w:instrText>
            </w:r>
            <w:r>
              <w:fldChar w:fldCharType="separate"/>
            </w:r>
            <w:r>
              <w:rPr>
                <w:rStyle w:val="28"/>
                <w:rFonts w:ascii="Times New Roman" w:hAnsi="Times New Roman" w:eastAsia="仿宋" w:cs="Times New Roman"/>
                <w:color w:val="auto"/>
                <w:sz w:val="22"/>
              </w:rPr>
              <w:t>无形资产历史形成过程的资金投入与财务核算情况披露</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"操作说明!A858" </w:instrText>
            </w:r>
            <w:r>
              <w:fldChar w:fldCharType="separate"/>
            </w:r>
            <w:r>
              <w:rPr>
                <w:rStyle w:val="28"/>
                <w:rFonts w:ascii="Times New Roman" w:hAnsi="Times New Roman" w:eastAsia="仿宋" w:cs="Times New Roman"/>
                <w:color w:val="auto"/>
                <w:sz w:val="22"/>
              </w:rPr>
              <w:t>重置成本组成要素构成情况、主要参数取值依据及数据来源</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"操作说明!A867" </w:instrText>
            </w:r>
            <w:r>
              <w:fldChar w:fldCharType="separate"/>
            </w:r>
            <w:r>
              <w:rPr>
                <w:rStyle w:val="28"/>
                <w:rFonts w:ascii="Times New Roman" w:hAnsi="Times New Roman" w:eastAsia="仿宋" w:cs="Times New Roman"/>
                <w:color w:val="auto"/>
                <w:sz w:val="22"/>
              </w:rPr>
              <w:t>重置成本计算过程的确定</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Ⅳ</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"操作说明!A876" </w:instrText>
            </w:r>
            <w:r>
              <w:fldChar w:fldCharType="separate"/>
            </w:r>
            <w:r>
              <w:rPr>
                <w:rStyle w:val="28"/>
                <w:rFonts w:ascii="Times New Roman" w:hAnsi="Times New Roman" w:eastAsia="仿宋" w:cs="Times New Roman"/>
                <w:color w:val="auto"/>
                <w:sz w:val="22"/>
              </w:rPr>
              <w:t>无形资产贬值的确定考虑因素、取值依据、形成过程阐述</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②★</w:t>
            </w:r>
          </w:p>
        </w:tc>
        <w:tc>
          <w:tcPr>
            <w:tcW w:w="3835"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"操作说明!A885" </w:instrText>
            </w:r>
            <w:r>
              <w:fldChar w:fldCharType="separate"/>
            </w:r>
            <w:r>
              <w:rPr>
                <w:rStyle w:val="28"/>
                <w:rFonts w:ascii="Times New Roman" w:hAnsi="Times New Roman" w:eastAsia="仿宋" w:cs="Times New Roman"/>
                <w:color w:val="auto"/>
                <w:sz w:val="22"/>
              </w:rPr>
              <w:t>采用收益法评估</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"操作说明!A893" </w:instrText>
            </w:r>
            <w:r>
              <w:fldChar w:fldCharType="separate"/>
            </w:r>
            <w:r>
              <w:rPr>
                <w:rStyle w:val="28"/>
                <w:rFonts w:ascii="Times New Roman" w:hAnsi="Times New Roman" w:eastAsia="仿宋" w:cs="Times New Roman"/>
                <w:color w:val="auto"/>
                <w:sz w:val="22"/>
              </w:rPr>
              <w:t>综合分析无形资产的剩余经济寿命、法定寿命及其他相关因素，确定收益期限</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810"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"操作说明!A902" </w:instrText>
            </w:r>
            <w:r>
              <w:fldChar w:fldCharType="separate"/>
            </w:r>
            <w:r>
              <w:rPr>
                <w:rStyle w:val="28"/>
                <w:rFonts w:ascii="Times New Roman" w:hAnsi="Times New Roman" w:eastAsia="仿宋" w:cs="Times New Roman"/>
                <w:color w:val="auto"/>
                <w:sz w:val="22"/>
              </w:rPr>
              <w:t>估算无形资产带来的预期收益，区分无形资产和其他无形资产与其他资产所获得收益，分析与之有关的预期变动、收益期限，与收益有关的成本费用、配套资产、现金流量、风险因素</w:t>
            </w:r>
            <w:r>
              <w:rPr>
                <w:rStyle w:val="28"/>
                <w:rFonts w:ascii="Times New Roman" w:hAnsi="Times New Roman" w:eastAsia="仿宋" w:cs="Times New Roman"/>
                <w:color w:val="auto"/>
                <w:sz w:val="22"/>
              </w:rPr>
              <w:fldChar w:fldCharType="end"/>
            </w:r>
          </w:p>
        </w:tc>
        <w:tc>
          <w:tcPr>
            <w:tcW w:w="49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238"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"操作说明!A911" </w:instrText>
            </w:r>
            <w:r>
              <w:fldChar w:fldCharType="separate"/>
            </w:r>
            <w:r>
              <w:rPr>
                <w:rStyle w:val="28"/>
                <w:rFonts w:ascii="Times New Roman" w:hAnsi="Times New Roman" w:eastAsia="仿宋" w:cs="Times New Roman"/>
                <w:color w:val="auto"/>
                <w:sz w:val="22"/>
              </w:rPr>
              <w:t>确定折现率考虑因素、取值依据、形成过程阐述；折现率口径与收益口径的一致性</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③★</w:t>
            </w:r>
          </w:p>
        </w:tc>
        <w:tc>
          <w:tcPr>
            <w:tcW w:w="3835"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"操作说明!A921" </w:instrText>
            </w:r>
            <w:r>
              <w:fldChar w:fldCharType="separate"/>
            </w:r>
            <w:r>
              <w:rPr>
                <w:rStyle w:val="28"/>
                <w:rFonts w:ascii="Times New Roman" w:hAnsi="Times New Roman" w:eastAsia="仿宋" w:cs="Times New Roman"/>
                <w:color w:val="auto"/>
                <w:sz w:val="22"/>
              </w:rPr>
              <w:t>采用市场法评估</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Ⅰ</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"操作说明!A928" </w:instrText>
            </w:r>
            <w:r>
              <w:fldChar w:fldCharType="separate"/>
            </w:r>
            <w:r>
              <w:rPr>
                <w:rStyle w:val="28"/>
                <w:rFonts w:ascii="Times New Roman" w:hAnsi="Times New Roman" w:eastAsia="仿宋" w:cs="Times New Roman"/>
                <w:color w:val="auto"/>
                <w:sz w:val="22"/>
              </w:rPr>
              <w:t>选择交易案例的依据或理由</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Ⅱ</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"操作说明!A937" </w:instrText>
            </w:r>
            <w:r>
              <w:fldChar w:fldCharType="separate"/>
            </w:r>
            <w:r>
              <w:rPr>
                <w:rStyle w:val="28"/>
                <w:rFonts w:ascii="Times New Roman" w:hAnsi="Times New Roman" w:eastAsia="仿宋" w:cs="Times New Roman"/>
                <w:color w:val="auto"/>
                <w:sz w:val="22"/>
              </w:rPr>
              <w:t>交易案例信息披露</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Ⅲ</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"操作说明!A945" </w:instrText>
            </w:r>
            <w:r>
              <w:fldChar w:fldCharType="separate"/>
            </w:r>
            <w:r>
              <w:rPr>
                <w:rStyle w:val="28"/>
                <w:rFonts w:ascii="Times New Roman" w:hAnsi="Times New Roman" w:eastAsia="仿宋" w:cs="Times New Roman"/>
                <w:color w:val="auto"/>
                <w:sz w:val="22"/>
              </w:rPr>
              <w:t>各项修正因素考虑、逻辑关系、取值依据、因素比较修正过程阐述</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"操作说明!A954" </w:instrText>
            </w:r>
            <w:r>
              <w:fldChar w:fldCharType="separate"/>
            </w:r>
            <w:r>
              <w:rPr>
                <w:rStyle w:val="28"/>
                <w:rFonts w:ascii="Times New Roman" w:hAnsi="Times New Roman" w:eastAsia="仿宋" w:cs="Times New Roman"/>
                <w:color w:val="auto"/>
                <w:sz w:val="22"/>
              </w:rPr>
              <w:t>对测算结果进行分析，形成评估结论的过程</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21</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"操作说明!A965" </w:instrText>
            </w:r>
            <w:r>
              <w:fldChar w:fldCharType="separate"/>
            </w:r>
            <w:r>
              <w:rPr>
                <w:rStyle w:val="28"/>
                <w:rFonts w:ascii="Times New Roman" w:hAnsi="Times New Roman" w:eastAsia="仿宋" w:cs="Times New Roman"/>
                <w:color w:val="auto"/>
                <w:sz w:val="22"/>
              </w:rPr>
              <w:t>评估假设</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22</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评估结论</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"操作说明!A982" </w:instrText>
            </w:r>
            <w:r>
              <w:fldChar w:fldCharType="separate"/>
            </w:r>
            <w:r>
              <w:rPr>
                <w:rStyle w:val="28"/>
                <w:rFonts w:ascii="Times New Roman" w:hAnsi="Times New Roman" w:eastAsia="仿宋" w:cs="Times New Roman"/>
                <w:color w:val="auto"/>
                <w:sz w:val="22"/>
              </w:rPr>
              <w:t>评估结论计算正确</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w:t>
            </w:r>
          </w:p>
        </w:tc>
        <w:tc>
          <w:tcPr>
            <w:tcW w:w="38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"操作说明!A995" </w:instrText>
            </w:r>
            <w:r>
              <w:fldChar w:fldCharType="separate"/>
            </w:r>
            <w:r>
              <w:rPr>
                <w:rStyle w:val="28"/>
                <w:rFonts w:ascii="Times New Roman" w:hAnsi="Times New Roman" w:eastAsia="仿宋" w:cs="Times New Roman"/>
                <w:color w:val="auto"/>
                <w:sz w:val="22"/>
              </w:rPr>
              <w:t>评估结论披露充分、准确</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23</w:t>
            </w:r>
            <w:r>
              <w:rPr>
                <w:rFonts w:ascii="Segoe UI Symbol" w:hAnsi="Segoe UI Symbol" w:eastAsia="仿宋" w:cs="Segoe UI Symbol"/>
                <w:kern w:val="0"/>
                <w:sz w:val="22"/>
                <w:lang w:bidi="ar"/>
              </w:rPr>
              <w:t>★</w:t>
            </w:r>
          </w:p>
        </w:tc>
        <w:tc>
          <w:tcPr>
            <w:tcW w:w="3835"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特别事项说明</w:t>
            </w:r>
          </w:p>
        </w:tc>
        <w:tc>
          <w:tcPr>
            <w:tcW w:w="49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ascii="Times New Roman" w:hAnsi="Times New Roman" w:eastAsia="仿宋" w:cs="Times New Roman"/>
                <w:sz w:val="22"/>
              </w:rPr>
            </w:pPr>
          </w:p>
        </w:tc>
        <w:tc>
          <w:tcPr>
            <w:tcW w:w="2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⑴</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"操作说明!A1010" </w:instrText>
            </w:r>
            <w:r>
              <w:fldChar w:fldCharType="separate"/>
            </w:r>
            <w:r>
              <w:rPr>
                <w:rStyle w:val="28"/>
                <w:rFonts w:ascii="Times New Roman" w:hAnsi="Times New Roman" w:eastAsia="仿宋" w:cs="Times New Roman"/>
                <w:color w:val="auto"/>
                <w:sz w:val="22"/>
              </w:rPr>
              <w:t>权属等主要资料不完整或者存在瑕疵的情形</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⑵</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"操作说明!A1019" </w:instrText>
            </w:r>
            <w:r>
              <w:fldChar w:fldCharType="separate"/>
            </w:r>
            <w:r>
              <w:rPr>
                <w:rStyle w:val="28"/>
                <w:rFonts w:ascii="Times New Roman" w:hAnsi="Times New Roman" w:eastAsia="仿宋" w:cs="Times New Roman"/>
                <w:color w:val="auto"/>
                <w:sz w:val="22"/>
              </w:rPr>
              <w:t>委托人未提供的其他关键资料情况</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⑶</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"操作说明!A1028" </w:instrText>
            </w:r>
            <w:r>
              <w:fldChar w:fldCharType="separate"/>
            </w:r>
            <w:r>
              <w:rPr>
                <w:rStyle w:val="28"/>
                <w:rFonts w:ascii="Times New Roman" w:hAnsi="Times New Roman" w:eastAsia="仿宋" w:cs="Times New Roman"/>
                <w:color w:val="auto"/>
                <w:sz w:val="22"/>
              </w:rPr>
              <w:t>未决事项、法律纠纷等不确定因素</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⑷</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"操作说明!A1037" </w:instrText>
            </w:r>
            <w:r>
              <w:fldChar w:fldCharType="separate"/>
            </w:r>
            <w:r>
              <w:rPr>
                <w:rStyle w:val="28"/>
                <w:rFonts w:ascii="Times New Roman" w:hAnsi="Times New Roman" w:eastAsia="仿宋" w:cs="Times New Roman"/>
                <w:color w:val="auto"/>
                <w:sz w:val="22"/>
              </w:rPr>
              <w:t>重要的利用专家工作及相关报告情况</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⑸</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"操作说明!A1050" </w:instrText>
            </w:r>
            <w:r>
              <w:fldChar w:fldCharType="separate"/>
            </w:r>
            <w:r>
              <w:rPr>
                <w:rStyle w:val="28"/>
                <w:rFonts w:ascii="Times New Roman" w:hAnsi="Times New Roman" w:eastAsia="仿宋" w:cs="Times New Roman"/>
                <w:color w:val="auto"/>
                <w:sz w:val="22"/>
              </w:rPr>
              <w:t>重大期后事项</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702"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⑹</w:t>
            </w:r>
          </w:p>
        </w:tc>
        <w:tc>
          <w:tcPr>
            <w:tcW w:w="383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"操作说明!A1060" </w:instrText>
            </w:r>
            <w:r>
              <w:fldChar w:fldCharType="separate"/>
            </w:r>
            <w:r>
              <w:rPr>
                <w:rStyle w:val="28"/>
                <w:rFonts w:ascii="Times New Roman" w:hAnsi="Times New Roman" w:eastAsia="仿宋" w:cs="Times New Roman"/>
                <w:color w:val="auto"/>
                <w:sz w:val="22"/>
              </w:rPr>
              <w:t>评估程序受限的有关情况、评估机构釆取的弥补措施及对评估结论影响的情况</w:t>
            </w:r>
            <w:r>
              <w:rPr>
                <w:rStyle w:val="28"/>
                <w:rFonts w:ascii="Times New Roman" w:hAnsi="Times New Roman" w:eastAsia="仿宋" w:cs="Times New Roman"/>
                <w:color w:val="auto"/>
                <w:sz w:val="22"/>
              </w:rPr>
              <w:fldChar w:fldCharType="end"/>
            </w:r>
          </w:p>
        </w:tc>
        <w:tc>
          <w:tcPr>
            <w:tcW w:w="49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238"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hint="eastAsia" w:ascii="宋体" w:hAnsi="宋体" w:eastAsia="宋体" w:cs="宋体"/>
                <w:kern w:val="0"/>
                <w:sz w:val="22"/>
                <w:lang w:bidi="ar"/>
              </w:rPr>
              <w:t>⑺</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"操作说明!A1070" </w:instrText>
            </w:r>
            <w:r>
              <w:fldChar w:fldCharType="separate"/>
            </w:r>
            <w:r>
              <w:rPr>
                <w:rStyle w:val="28"/>
                <w:rFonts w:ascii="Times New Roman" w:hAnsi="Times New Roman" w:eastAsia="仿宋" w:cs="Times New Roman"/>
                <w:color w:val="auto"/>
                <w:sz w:val="22"/>
              </w:rPr>
              <w:t>其他需要说明的事项</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24</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"操作说明!A1079" </w:instrText>
            </w:r>
            <w:r>
              <w:fldChar w:fldCharType="separate"/>
            </w:r>
            <w:r>
              <w:rPr>
                <w:rStyle w:val="28"/>
                <w:rFonts w:ascii="Times New Roman" w:hAnsi="Times New Roman" w:eastAsia="仿宋" w:cs="Times New Roman"/>
                <w:color w:val="auto"/>
                <w:sz w:val="22"/>
              </w:rPr>
              <w:t>资产评估报告使用限制说明</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25</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"操作说明!A1092" </w:instrText>
            </w:r>
            <w:r>
              <w:fldChar w:fldCharType="separate"/>
            </w:r>
            <w:r>
              <w:rPr>
                <w:rStyle w:val="28"/>
                <w:rFonts w:ascii="Times New Roman" w:hAnsi="Times New Roman" w:eastAsia="仿宋" w:cs="Times New Roman"/>
                <w:color w:val="auto"/>
                <w:sz w:val="22"/>
              </w:rPr>
              <w:t>资产评估报告日</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26</w:t>
            </w: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"操作说明!A1101" </w:instrText>
            </w:r>
            <w:r>
              <w:fldChar w:fldCharType="separate"/>
            </w:r>
            <w:r>
              <w:rPr>
                <w:rStyle w:val="28"/>
                <w:rFonts w:ascii="Times New Roman" w:hAnsi="Times New Roman" w:eastAsia="仿宋" w:cs="Times New Roman"/>
                <w:color w:val="auto"/>
                <w:sz w:val="22"/>
              </w:rPr>
              <w:t>资产评估专业人员签名和资产评估机构印章</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27</w:t>
            </w:r>
          </w:p>
        </w:tc>
        <w:tc>
          <w:tcPr>
            <w:tcW w:w="3835"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"操作说明!A1110" </w:instrText>
            </w:r>
            <w:r>
              <w:fldChar w:fldCharType="separate"/>
            </w:r>
            <w:r>
              <w:rPr>
                <w:rStyle w:val="28"/>
                <w:rFonts w:ascii="Times New Roman" w:hAnsi="Times New Roman" w:eastAsia="仿宋" w:cs="Times New Roman"/>
                <w:color w:val="auto"/>
                <w:sz w:val="22"/>
              </w:rPr>
              <w:t>资产评估报告附件</w:t>
            </w:r>
            <w:r>
              <w:rPr>
                <w:rStyle w:val="28"/>
                <w:rFonts w:ascii="Times New Roman" w:hAnsi="Times New Roman" w:eastAsia="仿宋" w:cs="Times New Roman"/>
                <w:color w:val="auto"/>
                <w:sz w:val="22"/>
              </w:rPr>
              <w:fldChar w:fldCharType="end"/>
            </w:r>
          </w:p>
        </w:tc>
        <w:tc>
          <w:tcPr>
            <w:tcW w:w="490"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c>
          <w:tcPr>
            <w:tcW w:w="238"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28</w:t>
            </w:r>
          </w:p>
        </w:tc>
        <w:tc>
          <w:tcPr>
            <w:tcW w:w="3835" w:type="pct"/>
            <w:tcBorders>
              <w:top w:val="nil"/>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u w:val="single"/>
              </w:rPr>
            </w:pPr>
            <w:r>
              <w:fldChar w:fldCharType="begin"/>
            </w:r>
            <w:r>
              <w:instrText xml:space="preserve"> HYPERLINK \l "操作说明!A1127" </w:instrText>
            </w:r>
            <w:r>
              <w:fldChar w:fldCharType="separate"/>
            </w:r>
            <w:r>
              <w:rPr>
                <w:rStyle w:val="28"/>
                <w:rFonts w:ascii="Times New Roman" w:hAnsi="Times New Roman" w:eastAsia="仿宋" w:cs="Times New Roman"/>
                <w:color w:val="auto"/>
                <w:sz w:val="22"/>
              </w:rPr>
              <w:t>评估明细表</w:t>
            </w:r>
            <w:r>
              <w:rPr>
                <w:rStyle w:val="28"/>
                <w:rFonts w:ascii="Times New Roman" w:hAnsi="Times New Roman" w:eastAsia="仿宋" w:cs="Times New Roman"/>
                <w:color w:val="auto"/>
                <w:sz w:val="22"/>
              </w:rPr>
              <w:fldChar w:fldCharType="end"/>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c>
          <w:tcPr>
            <w:tcW w:w="238"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仿宋" w:cs="Times New Roman"/>
                <w:sz w:val="22"/>
              </w:rPr>
            </w:pPr>
          </w:p>
        </w:tc>
      </w:tr>
      <w:tr>
        <w:tblPrEx>
          <w:tblCellMar>
            <w:top w:w="0" w:type="dxa"/>
            <w:left w:w="108" w:type="dxa"/>
            <w:bottom w:w="0" w:type="dxa"/>
            <w:right w:w="108" w:type="dxa"/>
          </w:tblCellMar>
        </w:tblPrEx>
        <w:trPr>
          <w:trHeight w:val="570"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资产评估报告内容规范性和完整性存在重点关注问题得分项数合计：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0分项数小计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3分（含3分）以下项平均得分</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38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2分（含2分）以下项平均得分</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246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2"/>
              </w:rPr>
            </w:pPr>
          </w:p>
        </w:tc>
        <w:tc>
          <w:tcPr>
            <w:tcW w:w="4563"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仿宋" w:cs="Times New Roman"/>
                <w:sz w:val="22"/>
              </w:rPr>
            </w:pPr>
            <w:r>
              <w:rPr>
                <w:rFonts w:ascii="Times New Roman" w:hAnsi="Times New Roman" w:eastAsia="仿宋" w:cs="Times New Roman"/>
                <w:kern w:val="0"/>
                <w:sz w:val="22"/>
                <w:lang w:bidi="ar"/>
              </w:rPr>
              <w:t>资产评估报告内容规范性和完备性检查意见（指出存在的主要问题）：</w:t>
            </w:r>
          </w:p>
        </w:tc>
      </w:tr>
      <w:tr>
        <w:tblPrEx>
          <w:tblCellMar>
            <w:top w:w="0" w:type="dxa"/>
            <w:left w:w="108" w:type="dxa"/>
            <w:bottom w:w="0" w:type="dxa"/>
            <w:right w:w="108" w:type="dxa"/>
          </w:tblCellMar>
        </w:tblPrEx>
        <w:trPr>
          <w:trHeight w:val="409"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Times New Roman"/>
                <w:b/>
                <w:bCs/>
                <w:sz w:val="22"/>
              </w:rPr>
            </w:pPr>
            <w:r>
              <w:rPr>
                <w:rFonts w:ascii="Times New Roman" w:hAnsi="Times New Roman" w:eastAsia="仿宋" w:cs="Times New Roman"/>
                <w:b/>
                <w:bCs/>
                <w:kern w:val="0"/>
                <w:sz w:val="22"/>
                <w:lang w:bidi="ar"/>
              </w:rPr>
              <w:t>三、评估业务整体评分结果</w:t>
            </w:r>
          </w:p>
        </w:tc>
      </w:tr>
      <w:tr>
        <w:tblPrEx>
          <w:tblCellMar>
            <w:top w:w="0" w:type="dxa"/>
            <w:left w:w="108" w:type="dxa"/>
            <w:bottom w:w="0" w:type="dxa"/>
            <w:right w:w="108" w:type="dxa"/>
          </w:tblCellMar>
        </w:tblPrEx>
        <w:trPr>
          <w:trHeight w:val="409"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评估业务整体存在重点关注问题得分项数合计：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0分项数小计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1分项数小计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p>
        </w:tc>
        <w:tc>
          <w:tcPr>
            <w:tcW w:w="38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3分项数小计</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p>
        </w:tc>
        <w:tc>
          <w:tcPr>
            <w:tcW w:w="38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3分（含3分）以下项平均得分</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409"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Times New Roman"/>
                <w:sz w:val="24"/>
                <w:szCs w:val="24"/>
              </w:rPr>
            </w:pPr>
          </w:p>
        </w:tc>
        <w:tc>
          <w:tcPr>
            <w:tcW w:w="38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仿宋" w:cs="Times New Roman"/>
                <w:sz w:val="22"/>
              </w:rPr>
            </w:pPr>
            <w:r>
              <w:rPr>
                <w:rFonts w:ascii="Times New Roman" w:hAnsi="Times New Roman" w:eastAsia="仿宋" w:cs="Times New Roman"/>
                <w:kern w:val="0"/>
                <w:sz w:val="22"/>
                <w:lang w:bidi="ar"/>
              </w:rPr>
              <w:t>2分（含2分）以下项平均得分</w:t>
            </w:r>
          </w:p>
        </w:tc>
        <w:tc>
          <w:tcPr>
            <w:tcW w:w="728" w:type="pct"/>
            <w:gridSpan w:val="2"/>
            <w:tcBorders>
              <w:top w:val="single" w:color="000000" w:sz="4" w:space="0"/>
              <w:left w:val="single" w:color="000000" w:sz="4" w:space="0"/>
              <w:bottom w:val="single" w:color="000000" w:sz="4" w:space="0"/>
              <w:right w:val="single" w:color="000000" w:sz="4" w:space="0"/>
            </w:tcBorders>
            <w:shd w:val="clear" w:color="auto" w:fill="A6A6A6"/>
            <w:vAlign w:val="center"/>
          </w:tcPr>
          <w:p>
            <w:pPr>
              <w:widowControl/>
              <w:jc w:val="center"/>
              <w:textAlignment w:val="center"/>
              <w:rPr>
                <w:rFonts w:ascii="Times New Roman" w:hAnsi="Times New Roman" w:eastAsia="仿宋" w:cs="Times New Roman"/>
                <w:sz w:val="22"/>
              </w:rPr>
            </w:pPr>
          </w:p>
        </w:tc>
      </w:tr>
      <w:tr>
        <w:tblPrEx>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rPr>
                <w:rFonts w:ascii="Times New Roman" w:hAnsi="Times New Roman" w:eastAsia="仿宋" w:cs="Times New Roman"/>
                <w:sz w:val="30"/>
                <w:szCs w:val="30"/>
              </w:rPr>
            </w:pP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 xml:space="preserve">人员：       </w:t>
            </w:r>
            <w:r>
              <w:rPr>
                <w:rFonts w:hint="eastAsia" w:ascii="Times New Roman" w:hAnsi="Times New Roman" w:eastAsia="仿宋" w:cs="Times New Roman"/>
                <w:kern w:val="0"/>
                <w:sz w:val="24"/>
                <w:szCs w:val="24"/>
                <w:lang w:eastAsia="zh-CN" w:bidi="ar"/>
              </w:rPr>
              <w:t>自查</w:t>
            </w:r>
            <w:r>
              <w:rPr>
                <w:rFonts w:ascii="Times New Roman" w:hAnsi="Times New Roman" w:eastAsia="仿宋" w:cs="Times New Roman"/>
                <w:kern w:val="0"/>
                <w:sz w:val="24"/>
                <w:szCs w:val="24"/>
                <w:lang w:bidi="ar"/>
              </w:rPr>
              <w:t>时间：           复核人员：      复核时间：</w:t>
            </w:r>
          </w:p>
          <w:p>
            <w:pPr>
              <w:widowControl/>
              <w:jc w:val="left"/>
              <w:textAlignment w:val="center"/>
              <w:rPr>
                <w:rFonts w:ascii="Times New Roman" w:hAnsi="Times New Roman" w:eastAsia="仿宋" w:cs="Times New Roman"/>
                <w:sz w:val="24"/>
                <w:szCs w:val="24"/>
              </w:rPr>
            </w:pPr>
          </w:p>
        </w:tc>
      </w:tr>
    </w:tbl>
    <w:p>
      <w:pPr>
        <w:rPr>
          <w:rFonts w:ascii="Times New Roman" w:hAnsi="Times New Roman" w:eastAsia="仿宋" w:cs="Times New Roman"/>
        </w:rPr>
      </w:pPr>
    </w:p>
    <w:p>
      <w:pPr>
        <w:rPr>
          <w:rFonts w:ascii="Times New Roman" w:hAnsi="Times New Roman" w:eastAsia="仿宋" w:cs="Times New Roman"/>
        </w:rPr>
      </w:pPr>
    </w:p>
    <w:p>
      <w:pPr>
        <w:rPr>
          <w:rFonts w:ascii="Times New Roman" w:hAnsi="Times New Roman" w:eastAsia="仿宋" w:cs="Times New Roman"/>
        </w:rPr>
      </w:pPr>
    </w:p>
    <w:p>
      <w:pPr>
        <w:widowControl/>
        <w:jc w:val="left"/>
        <w:rPr>
          <w:rFonts w:ascii="Times New Roman" w:hAnsi="Times New Roman" w:eastAsia="仿宋" w:cs="Times New Roman"/>
        </w:rPr>
      </w:pPr>
      <w:r>
        <w:rPr>
          <w:rFonts w:ascii="Times New Roman" w:hAnsi="Times New Roman" w:eastAsia="仿宋" w:cs="Times New Roman"/>
        </w:rPr>
        <w:br w:type="page"/>
      </w:r>
    </w:p>
    <w:p>
      <w:pPr>
        <w:rPr>
          <w:rFonts w:ascii="Times New Roman" w:hAnsi="Times New Roman" w:eastAsia="仿宋" w:cs="Times New Roman"/>
        </w:rPr>
      </w:pPr>
    </w:p>
    <w:p>
      <w:pPr>
        <w:jc w:val="center"/>
        <w:outlineLvl w:val="2"/>
        <w:rPr>
          <w:rStyle w:val="31"/>
          <w:rFonts w:ascii="Times New Roman" w:hAnsi="Times New Roman" w:eastAsia="仿宋"/>
          <w:sz w:val="44"/>
          <w:szCs w:val="44"/>
        </w:rPr>
      </w:pPr>
      <w:bookmarkStart w:id="26" w:name="_Toc238889598"/>
      <w:bookmarkStart w:id="27" w:name="_Toc70262749"/>
      <w:bookmarkStart w:id="28" w:name="_Toc106980814"/>
      <w:bookmarkStart w:id="29" w:name="OLE_LINK3"/>
      <w:bookmarkStart w:id="30" w:name="OLE_LINK1"/>
      <w:bookmarkStart w:id="31" w:name="OLE_LINK2"/>
      <w:r>
        <w:rPr>
          <w:rStyle w:val="31"/>
          <w:rFonts w:ascii="Times New Roman" w:hAnsi="Times New Roman" w:eastAsia="仿宋"/>
          <w:sz w:val="44"/>
          <w:szCs w:val="44"/>
        </w:rPr>
        <w:t>无形资产评估业务</w:t>
      </w:r>
      <w:bookmarkEnd w:id="26"/>
      <w:r>
        <w:rPr>
          <w:rStyle w:val="31"/>
          <w:rFonts w:hint="eastAsia" w:ascii="Times New Roman" w:hAnsi="Times New Roman" w:eastAsia="仿宋"/>
          <w:sz w:val="44"/>
          <w:szCs w:val="44"/>
          <w:lang w:eastAsia="zh-CN"/>
        </w:rPr>
        <w:t>自查</w:t>
      </w:r>
      <w:r>
        <w:rPr>
          <w:rStyle w:val="31"/>
          <w:rFonts w:ascii="Times New Roman" w:hAnsi="Times New Roman" w:eastAsia="仿宋"/>
          <w:sz w:val="44"/>
          <w:szCs w:val="44"/>
        </w:rPr>
        <w:t>说明</w:t>
      </w:r>
      <w:bookmarkEnd w:id="27"/>
      <w:bookmarkEnd w:id="28"/>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r>
        <w:rPr>
          <w:rFonts w:ascii="Times New Roman" w:hAnsi="Times New Roman" w:eastAsia="仿宋" w:cs="Times New Roman"/>
          <w:b/>
          <w:sz w:val="24"/>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82550</wp:posOffset>
                </wp:positionV>
                <wp:extent cx="5426075" cy="2514600"/>
                <wp:effectExtent l="0" t="0" r="22860" b="19050"/>
                <wp:wrapNone/>
                <wp:docPr id="5" name="矩形 5"/>
                <wp:cNvGraphicFramePr/>
                <a:graphic xmlns:a="http://schemas.openxmlformats.org/drawingml/2006/main">
                  <a:graphicData uri="http://schemas.microsoft.com/office/word/2010/wordprocessingShape">
                    <wps:wsp>
                      <wps:cNvSpPr/>
                      <wps:spPr>
                        <a:xfrm>
                          <a:off x="0" y="0"/>
                          <a:ext cx="5426015" cy="2514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1.除土地使用权、矿业权、水域使用权及以财务报告为目的的评估以外的无形资产评估业务适用本检查底稿。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w:t>
                            </w: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w:t>
                            </w:r>
                            <w:r>
                              <w:rPr>
                                <w:rFonts w:hint="eastAsia" w:ascii="黑体" w:hAnsi="黑体" w:eastAsia="黑体"/>
                                <w:bCs/>
                                <w:sz w:val="28"/>
                                <w:szCs w:val="28"/>
                                <w:lang w:eastAsia="zh-CN"/>
                              </w:rPr>
                              <w:t>自查</w:t>
                            </w:r>
                            <w:r>
                              <w:rPr>
                                <w:rFonts w:hint="eastAsia" w:ascii="黑体" w:hAnsi="黑体" w:eastAsia="黑体"/>
                                <w:bCs/>
                                <w:sz w:val="28"/>
                                <w:szCs w:val="28"/>
                              </w:rPr>
                              <w:t>底稿表中只对</w:t>
                            </w:r>
                            <w:r>
                              <w:rPr>
                                <w:rFonts w:hint="eastAsia" w:ascii="黑体" w:hAnsi="黑体" w:eastAsia="黑体"/>
                                <w:bCs/>
                                <w:sz w:val="28"/>
                                <w:szCs w:val="28"/>
                                <w:lang w:eastAsia="zh-CN"/>
                              </w:rPr>
                              <w:t>自查</w:t>
                            </w:r>
                            <w:r>
                              <w:rPr>
                                <w:rFonts w:hint="eastAsia" w:ascii="黑体" w:hAnsi="黑体" w:eastAsia="黑体"/>
                                <w:bCs/>
                                <w:sz w:val="28"/>
                                <w:szCs w:val="28"/>
                              </w:rPr>
                              <w:t>得分0、1.2.3分的情况进行填报记录，即在对应</w:t>
                            </w:r>
                            <w:r>
                              <w:rPr>
                                <w:rFonts w:hint="eastAsia" w:ascii="黑体" w:hAnsi="黑体" w:eastAsia="黑体"/>
                                <w:bCs/>
                                <w:sz w:val="28"/>
                                <w:szCs w:val="28"/>
                                <w:lang w:eastAsia="zh-CN"/>
                              </w:rPr>
                              <w:t>自查</w:t>
                            </w:r>
                            <w:r>
                              <w:rPr>
                                <w:rFonts w:hint="eastAsia" w:ascii="黑体" w:hAnsi="黑体" w:eastAsia="黑体"/>
                                <w:bCs/>
                                <w:sz w:val="28"/>
                                <w:szCs w:val="28"/>
                              </w:rPr>
                              <w:t>项目中填写相应得分。</w:t>
                            </w:r>
                          </w:p>
                        </w:txbxContent>
                      </wps:txbx>
                      <wps:bodyPr wrap="square" upright="1">
                        <a:noAutofit/>
                      </wps:bodyPr>
                    </wps:wsp>
                  </a:graphicData>
                </a:graphic>
              </wp:anchor>
            </w:drawing>
          </mc:Choice>
          <mc:Fallback>
            <w:pict>
              <v:rect id="_x0000_s1026" o:spid="_x0000_s1026" o:spt="1" style="position:absolute;left:0pt;margin-left:-0.55pt;margin-top:6.5pt;height:198pt;width:427.25pt;z-index:251661312;mso-width-relative:page;mso-height-relative:page;" fillcolor="#FFFFFF" filled="t" stroked="t" coordsize="21600,21600" o:gfxdata="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1e+CtcAAAAJAQAADwAA&#10;AAAAAAABACAAAAAiAAAAZHJzL2Rvd25yZXYueG1sUEsBAhQAFAAAAAgAh07iQOSvX2UXAgAAUgQA&#10;AA4AAAAAAAAAAQAgAAAAJgEAAGRycy9lMm9Eb2MueG1sUEsFBgAAAAAGAAYAWQEAAK8FAAAAAA==&#10;">
                <v:fill on="t" focussize="0,0"/>
                <v:stroke color="#000000" joinstyle="miter"/>
                <v:imagedata o:title=""/>
                <o:lock v:ext="edit" aspectratio="f"/>
                <v:textbo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1.除土地使用权、矿业权、水域使用权及以财务报告为目的的评估以外的无形资产评估业务适用本检查底稿。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w:t>
                      </w: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w:t>
                      </w:r>
                      <w:r>
                        <w:rPr>
                          <w:rFonts w:hint="eastAsia" w:ascii="黑体" w:hAnsi="黑体" w:eastAsia="黑体"/>
                          <w:bCs/>
                          <w:sz w:val="28"/>
                          <w:szCs w:val="28"/>
                          <w:lang w:eastAsia="zh-CN"/>
                        </w:rPr>
                        <w:t>自查</w:t>
                      </w:r>
                      <w:r>
                        <w:rPr>
                          <w:rFonts w:hint="eastAsia" w:ascii="黑体" w:hAnsi="黑体" w:eastAsia="黑体"/>
                          <w:bCs/>
                          <w:sz w:val="28"/>
                          <w:szCs w:val="28"/>
                        </w:rPr>
                        <w:t>底稿表中只对</w:t>
                      </w:r>
                      <w:r>
                        <w:rPr>
                          <w:rFonts w:hint="eastAsia" w:ascii="黑体" w:hAnsi="黑体" w:eastAsia="黑体"/>
                          <w:bCs/>
                          <w:sz w:val="28"/>
                          <w:szCs w:val="28"/>
                          <w:lang w:eastAsia="zh-CN"/>
                        </w:rPr>
                        <w:t>自查</w:t>
                      </w:r>
                      <w:r>
                        <w:rPr>
                          <w:rFonts w:hint="eastAsia" w:ascii="黑体" w:hAnsi="黑体" w:eastAsia="黑体"/>
                          <w:bCs/>
                          <w:sz w:val="28"/>
                          <w:szCs w:val="28"/>
                        </w:rPr>
                        <w:t>得分0、1.2.3分的情况进行填报记录，即在对应</w:t>
                      </w:r>
                      <w:r>
                        <w:rPr>
                          <w:rFonts w:hint="eastAsia" w:ascii="黑体" w:hAnsi="黑体" w:eastAsia="黑体"/>
                          <w:bCs/>
                          <w:sz w:val="28"/>
                          <w:szCs w:val="28"/>
                          <w:lang w:eastAsia="zh-CN"/>
                        </w:rPr>
                        <w:t>自查</w:t>
                      </w:r>
                      <w:r>
                        <w:rPr>
                          <w:rFonts w:hint="eastAsia" w:ascii="黑体" w:hAnsi="黑体" w:eastAsia="黑体"/>
                          <w:bCs/>
                          <w:sz w:val="28"/>
                          <w:szCs w:val="28"/>
                        </w:rPr>
                        <w:t>项目中填写相应得分。</w:t>
                      </w:r>
                    </w:p>
                  </w:txbxContent>
                </v:textbox>
              </v:rect>
            </w:pict>
          </mc:Fallback>
        </mc:AlternateContent>
      </w: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bookmarkEnd w:id="29"/>
    <w:bookmarkEnd w:id="30"/>
    <w:bookmarkEnd w:id="31"/>
    <w:p>
      <w:pPr>
        <w:rPr>
          <w:rFonts w:ascii="Times New Roman" w:hAnsi="Times New Roman" w:eastAsia="仿宋" w:cs="Times New Roman"/>
        </w:rPr>
      </w:pPr>
      <w:r>
        <w:rPr>
          <w:rFonts w:ascii="Times New Roman" w:hAnsi="Times New Roman" w:eastAsia="仿宋" w:cs="Times New Roman"/>
        </w:rPr>
        <w:br w:type="page"/>
      </w:r>
    </w:p>
    <w:p>
      <w:pPr>
        <w:rPr>
          <w:rFonts w:ascii="Times New Roman" w:hAnsi="Times New Roman" w:eastAsia="仿宋" w:cs="Times New Roman"/>
        </w:rPr>
      </w:pPr>
    </w:p>
    <w:p>
      <w:pPr>
        <w:jc w:val="center"/>
        <w:outlineLvl w:val="2"/>
        <w:rPr>
          <w:rStyle w:val="31"/>
          <w:rFonts w:ascii="Times New Roman" w:hAnsi="Times New Roman" w:eastAsia="仿宋"/>
          <w:szCs w:val="36"/>
        </w:rPr>
      </w:pPr>
      <w:bookmarkStart w:id="32" w:name="_Toc106980817"/>
      <w:bookmarkStart w:id="33" w:name="_Toc70262750"/>
      <w:r>
        <w:rPr>
          <w:rStyle w:val="31"/>
          <w:rFonts w:ascii="Times New Roman" w:hAnsi="Times New Roman" w:eastAsia="仿宋"/>
          <w:b w:val="0"/>
          <w:szCs w:val="36"/>
        </w:rPr>
        <w:t xml:space="preserve">表4-5 </w:t>
      </w:r>
      <w:r>
        <w:rPr>
          <w:rStyle w:val="31"/>
          <w:rFonts w:ascii="Times New Roman" w:hAnsi="Times New Roman" w:eastAsia="仿宋"/>
          <w:szCs w:val="36"/>
        </w:rPr>
        <w:t>以财务报告为目的评估业务</w:t>
      </w:r>
      <w:r>
        <w:rPr>
          <w:rStyle w:val="31"/>
          <w:rFonts w:hint="eastAsia" w:ascii="Times New Roman" w:hAnsi="Times New Roman" w:eastAsia="仿宋"/>
          <w:szCs w:val="36"/>
          <w:lang w:eastAsia="zh-CN"/>
        </w:rPr>
        <w:t>自查</w:t>
      </w:r>
      <w:r>
        <w:rPr>
          <w:rStyle w:val="31"/>
          <w:rFonts w:ascii="Times New Roman" w:hAnsi="Times New Roman" w:eastAsia="仿宋"/>
          <w:szCs w:val="36"/>
        </w:rPr>
        <w:t>底稿</w:t>
      </w:r>
      <w:bookmarkEnd w:id="32"/>
      <w:bookmarkEnd w:id="33"/>
    </w:p>
    <w:p>
      <w:pPr>
        <w:rPr>
          <w:rFonts w:ascii="Times New Roman" w:hAnsi="Times New Roman" w:eastAsia="仿宋" w:cs="Times New Roman"/>
        </w:rPr>
      </w:pPr>
    </w:p>
    <w:tbl>
      <w:tblPr>
        <w:tblStyle w:val="25"/>
        <w:tblW w:w="5000" w:type="pct"/>
        <w:tblInd w:w="0" w:type="dxa"/>
        <w:tblLayout w:type="fixed"/>
        <w:tblCellMar>
          <w:top w:w="0" w:type="dxa"/>
          <w:left w:w="108" w:type="dxa"/>
          <w:bottom w:w="0" w:type="dxa"/>
          <w:right w:w="108" w:type="dxa"/>
        </w:tblCellMar>
      </w:tblPr>
      <w:tblGrid>
        <w:gridCol w:w="756"/>
        <w:gridCol w:w="6040"/>
        <w:gridCol w:w="1090"/>
        <w:gridCol w:w="835"/>
      </w:tblGrid>
      <w:tr>
        <w:tblPrEx>
          <w:tblCellMar>
            <w:top w:w="0" w:type="dxa"/>
            <w:left w:w="108" w:type="dxa"/>
            <w:bottom w:w="0" w:type="dxa"/>
            <w:right w:w="108" w:type="dxa"/>
          </w:tblCellMar>
        </w:tblPrEx>
        <w:trPr>
          <w:trHeight w:val="350" w:hRule="atLeast"/>
          <w:tblHeader/>
        </w:trPr>
        <w:tc>
          <w:tcPr>
            <w:tcW w:w="5000" w:type="pct"/>
            <w:gridSpan w:val="4"/>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lang w:eastAsia="zh-CN"/>
              </w:rPr>
              <w:t>自查</w:t>
            </w:r>
            <w:r>
              <w:rPr>
                <w:rFonts w:hint="eastAsia" w:ascii="仿宋" w:hAnsi="仿宋" w:eastAsia="仿宋" w:cs="宋体"/>
                <w:kern w:val="0"/>
                <w:sz w:val="24"/>
                <w:szCs w:val="24"/>
              </w:rPr>
              <w:t>单位名称：</w:t>
            </w:r>
            <w:r>
              <w:rPr>
                <w:rFonts w:ascii="仿宋" w:hAnsi="仿宋" w:eastAsia="仿宋" w:cs="Times New Roman"/>
                <w:kern w:val="0"/>
                <w:sz w:val="24"/>
                <w:szCs w:val="24"/>
              </w:rPr>
              <w:t xml:space="preserve">                                </w:t>
            </w:r>
            <w:r>
              <w:rPr>
                <w:rFonts w:hint="eastAsia" w:ascii="仿宋" w:hAnsi="仿宋" w:eastAsia="仿宋" w:cs="宋体"/>
                <w:kern w:val="0"/>
                <w:sz w:val="24"/>
                <w:szCs w:val="24"/>
                <w:lang w:eastAsia="zh-CN"/>
              </w:rPr>
              <w:t>自查</w:t>
            </w:r>
            <w:r>
              <w:rPr>
                <w:rFonts w:hint="eastAsia" w:ascii="仿宋" w:hAnsi="仿宋" w:eastAsia="仿宋" w:cs="宋体"/>
                <w:kern w:val="0"/>
                <w:sz w:val="24"/>
                <w:szCs w:val="24"/>
              </w:rPr>
              <w:t>报告文号：</w:t>
            </w:r>
            <w:r>
              <w:rPr>
                <w:rFonts w:ascii="仿宋" w:hAnsi="仿宋" w:eastAsia="仿宋" w:cs="Times New Roman"/>
                <w:kern w:val="0"/>
                <w:sz w:val="24"/>
                <w:szCs w:val="24"/>
              </w:rPr>
              <w:t xml:space="preserve">               </w:t>
            </w:r>
          </w:p>
        </w:tc>
      </w:tr>
      <w:tr>
        <w:tblPrEx>
          <w:tblCellMar>
            <w:top w:w="0" w:type="dxa"/>
            <w:left w:w="108" w:type="dxa"/>
            <w:bottom w:w="0" w:type="dxa"/>
            <w:right w:w="108" w:type="dxa"/>
          </w:tblCellMar>
        </w:tblPrEx>
        <w:trPr>
          <w:trHeight w:val="705" w:hRule="atLeast"/>
          <w:tblHeader/>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序号</w:t>
            </w:r>
          </w:p>
        </w:tc>
        <w:tc>
          <w:tcPr>
            <w:tcW w:w="34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lang w:eastAsia="zh-CN"/>
              </w:rPr>
              <w:t>自查</w:t>
            </w:r>
            <w:r>
              <w:rPr>
                <w:rFonts w:hint="eastAsia" w:ascii="仿宋" w:hAnsi="仿宋" w:eastAsia="仿宋" w:cs="宋体"/>
                <w:b/>
                <w:bCs/>
                <w:kern w:val="0"/>
                <w:sz w:val="22"/>
              </w:rPr>
              <w:t>内容</w:t>
            </w:r>
          </w:p>
        </w:tc>
        <w:tc>
          <w:tcPr>
            <w:tcW w:w="6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lang w:eastAsia="zh-CN"/>
              </w:rPr>
              <w:t>自查</w:t>
            </w:r>
            <w:r>
              <w:rPr>
                <w:rFonts w:hint="eastAsia" w:ascii="仿宋" w:hAnsi="仿宋" w:eastAsia="仿宋" w:cs="宋体"/>
                <w:b/>
                <w:bCs/>
                <w:kern w:val="0"/>
                <w:sz w:val="22"/>
              </w:rPr>
              <w:t>得分</w:t>
            </w:r>
          </w:p>
        </w:tc>
        <w:tc>
          <w:tcPr>
            <w:tcW w:w="4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索引</w:t>
            </w:r>
          </w:p>
        </w:tc>
      </w:tr>
      <w:tr>
        <w:tblPrEx>
          <w:tblCellMar>
            <w:top w:w="0" w:type="dxa"/>
            <w:left w:w="108" w:type="dxa"/>
            <w:bottom w:w="0" w:type="dxa"/>
            <w:right w:w="108" w:type="dxa"/>
          </w:tblCellMar>
        </w:tblPrEx>
        <w:trPr>
          <w:trHeight w:val="35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一、评估工作底稿的规范性和完备性</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明确业务基本事项</w:t>
            </w:r>
          </w:p>
        </w:tc>
        <w:tc>
          <w:tcPr>
            <w:tcW w:w="625" w:type="pct"/>
            <w:tcBorders>
              <w:top w:val="nil"/>
              <w:left w:val="nil"/>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⑴</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 </w:instrText>
            </w:r>
            <w:r>
              <w:fldChar w:fldCharType="separate"/>
            </w:r>
            <w:r>
              <w:rPr>
                <w:rFonts w:hint="eastAsia" w:ascii="仿宋" w:hAnsi="仿宋" w:eastAsia="仿宋" w:cs="宋体"/>
                <w:kern w:val="0"/>
                <w:sz w:val="22"/>
                <w:u w:val="single"/>
              </w:rPr>
              <w:t>资产评估业务基本事项</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 </w:instrText>
            </w:r>
            <w:r>
              <w:fldChar w:fldCharType="separate"/>
            </w:r>
            <w:r>
              <w:rPr>
                <w:rFonts w:hint="eastAsia" w:ascii="仿宋" w:hAnsi="仿宋" w:eastAsia="仿宋" w:cs="宋体"/>
                <w:kern w:val="0"/>
                <w:sz w:val="22"/>
                <w:u w:val="single"/>
              </w:rPr>
              <w:t>资产评估业务基本事项</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"操作说明!A19" </w:instrText>
            </w:r>
            <w:r>
              <w:fldChar w:fldCharType="separate"/>
            </w:r>
            <w:r>
              <w:rPr>
                <w:rFonts w:hint="eastAsia" w:ascii="仿宋" w:hAnsi="仿宋" w:eastAsia="仿宋" w:cs="宋体"/>
                <w:kern w:val="0"/>
                <w:sz w:val="22"/>
                <w:u w:val="single"/>
              </w:rPr>
              <w:t>与注册会计师、管理层等的沟通事项</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⑵</w:t>
            </w:r>
          </w:p>
        </w:tc>
        <w:tc>
          <w:tcPr>
            <w:tcW w:w="3463" w:type="pct"/>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"操作说明!A40" </w:instrText>
            </w:r>
            <w:r>
              <w:fldChar w:fldCharType="separate"/>
            </w:r>
            <w:r>
              <w:rPr>
                <w:rFonts w:hint="eastAsia" w:ascii="仿宋" w:hAnsi="仿宋" w:eastAsia="仿宋" w:cs="宋体"/>
                <w:kern w:val="0"/>
                <w:sz w:val="22"/>
                <w:u w:val="single"/>
              </w:rPr>
              <w:t>专业能力分析和评价</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⑶</w:t>
            </w:r>
          </w:p>
        </w:tc>
        <w:tc>
          <w:tcPr>
            <w:tcW w:w="3463" w:type="pct"/>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"操作说明!A57" </w:instrText>
            </w:r>
            <w:r>
              <w:fldChar w:fldCharType="separate"/>
            </w:r>
            <w:r>
              <w:rPr>
                <w:rFonts w:hint="eastAsia" w:ascii="仿宋" w:hAnsi="仿宋" w:eastAsia="仿宋" w:cs="宋体"/>
                <w:kern w:val="0"/>
                <w:sz w:val="22"/>
                <w:u w:val="single"/>
              </w:rPr>
              <w:t>独立性分析和评价</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⑷</w:t>
            </w:r>
          </w:p>
        </w:tc>
        <w:tc>
          <w:tcPr>
            <w:tcW w:w="3463" w:type="pct"/>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"操作说明!A73" </w:instrText>
            </w:r>
            <w:r>
              <w:fldChar w:fldCharType="separate"/>
            </w:r>
            <w:r>
              <w:rPr>
                <w:rFonts w:hint="eastAsia" w:ascii="仿宋" w:hAnsi="仿宋" w:eastAsia="仿宋" w:cs="宋体"/>
                <w:kern w:val="0"/>
                <w:sz w:val="22"/>
                <w:u w:val="single"/>
              </w:rPr>
              <w:t>业务风险分析和评价</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⑸</w:t>
            </w:r>
          </w:p>
        </w:tc>
        <w:tc>
          <w:tcPr>
            <w:tcW w:w="3463" w:type="pct"/>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"操作说明!A88" </w:instrText>
            </w:r>
            <w:r>
              <w:fldChar w:fldCharType="separate"/>
            </w:r>
            <w:r>
              <w:rPr>
                <w:rFonts w:hint="eastAsia" w:ascii="仿宋" w:hAnsi="仿宋" w:eastAsia="仿宋" w:cs="宋体"/>
                <w:kern w:val="0"/>
                <w:sz w:val="22"/>
                <w:u w:val="single"/>
              </w:rPr>
              <w:t>利用专家工作分析和评价</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"操作说明!A108" </w:instrText>
            </w:r>
            <w:r>
              <w:fldChar w:fldCharType="separate"/>
            </w:r>
            <w:r>
              <w:rPr>
                <w:rFonts w:hint="eastAsia" w:ascii="仿宋" w:hAnsi="仿宋" w:eastAsia="仿宋" w:cs="宋体"/>
                <w:kern w:val="0"/>
                <w:sz w:val="22"/>
                <w:u w:val="single"/>
              </w:rPr>
              <w:t>订立资产评估委托合同</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"操作说明!A137" </w:instrText>
            </w:r>
            <w:r>
              <w:fldChar w:fldCharType="separate"/>
            </w:r>
            <w:r>
              <w:rPr>
                <w:rFonts w:hint="eastAsia" w:ascii="仿宋" w:hAnsi="仿宋" w:eastAsia="仿宋" w:cs="宋体"/>
                <w:kern w:val="0"/>
                <w:sz w:val="22"/>
                <w:u w:val="single"/>
              </w:rPr>
              <w:t>编制资产评估计划</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"操作说明!A155" </w:instrText>
            </w:r>
            <w:r>
              <w:fldChar w:fldCharType="separate"/>
            </w:r>
            <w:r>
              <w:rPr>
                <w:rFonts w:hint="eastAsia" w:ascii="仿宋" w:hAnsi="仿宋" w:eastAsia="仿宋" w:cs="宋体"/>
                <w:kern w:val="0"/>
                <w:sz w:val="22"/>
                <w:u w:val="single"/>
              </w:rPr>
              <w:t>现场调查</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⑴</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"操作说明!A159" </w:instrText>
            </w:r>
            <w:r>
              <w:fldChar w:fldCharType="separate"/>
            </w:r>
            <w:r>
              <w:rPr>
                <w:rFonts w:hint="eastAsia" w:ascii="仿宋" w:hAnsi="仿宋" w:eastAsia="仿宋" w:cs="宋体"/>
                <w:kern w:val="0"/>
                <w:sz w:val="22"/>
                <w:u w:val="single"/>
              </w:rPr>
              <w:t>获取委托人或者其他相关当事人提供的资产评估申报明细表等</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⑵</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"操作说明!A170" </w:instrText>
            </w:r>
            <w:r>
              <w:fldChar w:fldCharType="separate"/>
            </w:r>
            <w:r>
              <w:rPr>
                <w:rFonts w:hint="eastAsia" w:ascii="仿宋" w:hAnsi="仿宋" w:eastAsia="仿宋" w:cs="宋体"/>
                <w:kern w:val="0"/>
                <w:sz w:val="22"/>
                <w:u w:val="single"/>
              </w:rPr>
              <w:t>选择了与评估项目相适应的现场调查方式</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⑶</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"操作说明!A183" </w:instrText>
            </w:r>
            <w:r>
              <w:fldChar w:fldCharType="separate"/>
            </w:r>
            <w:r>
              <w:rPr>
                <w:rFonts w:hint="eastAsia" w:ascii="仿宋" w:hAnsi="仿宋" w:eastAsia="仿宋" w:cs="宋体"/>
                <w:kern w:val="0"/>
                <w:sz w:val="22"/>
                <w:u w:val="single"/>
              </w:rPr>
              <w:t>核实评估对象的存在性、完整性及使用状况</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⑷</w:t>
            </w:r>
          </w:p>
        </w:tc>
        <w:tc>
          <w:tcPr>
            <w:tcW w:w="3463" w:type="pct"/>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"操作说明!A200" </w:instrText>
            </w:r>
            <w:r>
              <w:fldChar w:fldCharType="separate"/>
            </w:r>
            <w:r>
              <w:rPr>
                <w:rFonts w:hint="eastAsia" w:ascii="仿宋" w:hAnsi="仿宋" w:eastAsia="仿宋" w:cs="宋体"/>
                <w:kern w:val="0"/>
                <w:sz w:val="22"/>
                <w:u w:val="single"/>
              </w:rPr>
              <w:t>现场调查受到客观限制时采取的其他适用方法和记录</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⑸</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"操作说明!A211" </w:instrText>
            </w:r>
            <w:r>
              <w:fldChar w:fldCharType="separate"/>
            </w:r>
            <w:r>
              <w:rPr>
                <w:rFonts w:hint="eastAsia" w:ascii="仿宋" w:hAnsi="仿宋" w:eastAsia="仿宋" w:cs="宋体"/>
                <w:kern w:val="0"/>
                <w:sz w:val="22"/>
                <w:u w:val="single"/>
              </w:rPr>
              <w:t>经营和会计核算查阅记录</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100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"操作说明!A222" </w:instrText>
            </w:r>
            <w:r>
              <w:fldChar w:fldCharType="separate"/>
            </w:r>
            <w:r>
              <w:rPr>
                <w:rFonts w:hint="eastAsia" w:ascii="仿宋" w:hAnsi="仿宋" w:eastAsia="仿宋" w:cs="宋体"/>
                <w:kern w:val="0"/>
                <w:sz w:val="22"/>
                <w:u w:val="single"/>
              </w:rPr>
              <w:t>收集评估对象、产权持有单位的信息资料及与其相关的其它信息资料，并进行审慎分析，确信信息来源是可靠的和适当的（包括但不限于以下方面）：</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⑴</w:t>
            </w:r>
          </w:p>
        </w:tc>
        <w:tc>
          <w:tcPr>
            <w:tcW w:w="3463" w:type="pct"/>
            <w:tcBorders>
              <w:top w:val="nil"/>
              <w:left w:val="nil"/>
              <w:bottom w:val="nil"/>
              <w:right w:val="nil"/>
            </w:tcBorders>
            <w:shd w:val="clear" w:color="000000" w:fill="BFBFBF"/>
            <w:noWrap/>
            <w:vAlign w:val="center"/>
          </w:tcPr>
          <w:p>
            <w:pPr>
              <w:widowControl/>
              <w:jc w:val="left"/>
              <w:rPr>
                <w:rFonts w:ascii="仿宋" w:hAnsi="仿宋" w:eastAsia="仿宋" w:cs="宋体"/>
                <w:kern w:val="0"/>
                <w:sz w:val="22"/>
              </w:rPr>
            </w:pPr>
            <w:r>
              <w:rPr>
                <w:rFonts w:hint="eastAsia" w:ascii="仿宋" w:hAnsi="仿宋" w:eastAsia="仿宋" w:cs="宋体"/>
                <w:kern w:val="0"/>
                <w:sz w:val="22"/>
              </w:rPr>
              <w:t>收集委托人或者其他相关当事人提供的基本资料并进行核查验证</w:t>
            </w:r>
          </w:p>
        </w:tc>
        <w:tc>
          <w:tcPr>
            <w:tcW w:w="625"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"操作说明!A231" </w:instrText>
            </w:r>
            <w:r>
              <w:fldChar w:fldCharType="separate"/>
            </w:r>
            <w:r>
              <w:rPr>
                <w:rFonts w:hint="eastAsia" w:ascii="仿宋" w:hAnsi="仿宋" w:eastAsia="仿宋" w:cs="宋体"/>
                <w:kern w:val="0"/>
                <w:sz w:val="22"/>
                <w:u w:val="single"/>
              </w:rPr>
              <w:t>评估对象权益状况相关的协议、章程、股权证明等有关法律文件</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"操作说明!A239" </w:instrText>
            </w:r>
            <w:r>
              <w:fldChar w:fldCharType="separate"/>
            </w:r>
            <w:r>
              <w:rPr>
                <w:rFonts w:hint="eastAsia" w:ascii="仿宋" w:hAnsi="仿宋" w:eastAsia="仿宋" w:cs="宋体"/>
                <w:kern w:val="0"/>
                <w:sz w:val="22"/>
                <w:u w:val="single"/>
              </w:rPr>
              <w:t>被评估对象的财务及经营状况资料</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③</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"操作说明!A250" </w:instrText>
            </w:r>
            <w:r>
              <w:fldChar w:fldCharType="separate"/>
            </w:r>
            <w:r>
              <w:rPr>
                <w:rFonts w:hint="eastAsia" w:ascii="仿宋" w:hAnsi="仿宋" w:eastAsia="仿宋" w:cs="宋体"/>
                <w:kern w:val="0"/>
                <w:sz w:val="22"/>
                <w:u w:val="single"/>
              </w:rPr>
              <w:t>经营计划、发展规划和收益预测资料</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④</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"操作说明!A262" </w:instrText>
            </w:r>
            <w:r>
              <w:fldChar w:fldCharType="separate"/>
            </w:r>
            <w:r>
              <w:rPr>
                <w:rFonts w:hint="eastAsia" w:ascii="仿宋" w:hAnsi="仿宋" w:eastAsia="仿宋" w:cs="宋体"/>
                <w:kern w:val="0"/>
                <w:sz w:val="22"/>
                <w:u w:val="single"/>
              </w:rPr>
              <w:t>评估对象涉及的主要资产权属证明、租赁合同、交易文件资料</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⑤</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"操作说明!A272" </w:instrText>
            </w:r>
            <w:r>
              <w:fldChar w:fldCharType="separate"/>
            </w:r>
            <w:r>
              <w:rPr>
                <w:rFonts w:hint="eastAsia" w:ascii="仿宋" w:hAnsi="仿宋" w:eastAsia="仿宋" w:cs="宋体"/>
                <w:kern w:val="0"/>
                <w:sz w:val="22"/>
                <w:u w:val="single"/>
              </w:rPr>
              <w:t>评估对象以往的评估及交易资料</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⑥</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"操作说明!A281" </w:instrText>
            </w:r>
            <w:r>
              <w:fldChar w:fldCharType="separate"/>
            </w:r>
            <w:r>
              <w:rPr>
                <w:rFonts w:hint="eastAsia" w:ascii="仿宋" w:hAnsi="仿宋" w:eastAsia="仿宋" w:cs="宋体"/>
                <w:kern w:val="0"/>
                <w:sz w:val="22"/>
                <w:u w:val="single"/>
              </w:rPr>
              <w:t>影响评估对象经营的宏观、区域经济因素资料</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⑦</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"操作说明!A289" </w:instrText>
            </w:r>
            <w:r>
              <w:fldChar w:fldCharType="separate"/>
            </w:r>
            <w:r>
              <w:rPr>
                <w:rFonts w:hint="eastAsia" w:ascii="仿宋" w:hAnsi="仿宋" w:eastAsia="仿宋" w:cs="宋体"/>
                <w:kern w:val="0"/>
                <w:sz w:val="22"/>
                <w:u w:val="single"/>
              </w:rPr>
              <w:t>评估对象所在行业现状与发展前景资料</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00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⑧</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"操作说明!A297" </w:instrText>
            </w:r>
            <w:r>
              <w:fldChar w:fldCharType="separate"/>
            </w:r>
            <w:r>
              <w:rPr>
                <w:rFonts w:hint="eastAsia" w:ascii="仿宋" w:hAnsi="仿宋" w:eastAsia="仿宋" w:cs="宋体"/>
                <w:kern w:val="0"/>
                <w:sz w:val="22"/>
                <w:u w:val="single"/>
              </w:rPr>
              <w:t>可比对象相关可比资料，包括且不限于：可比对象的使用状况、经营情况、财务信息、交易价格或者交易内涵、涉及的股票信息、产权交易信息、租赁市场趋势、租金价格和增长率等。</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⑨</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"操作说明!A305" </w:instrText>
            </w:r>
            <w:r>
              <w:fldChar w:fldCharType="separate"/>
            </w:r>
            <w:r>
              <w:rPr>
                <w:rFonts w:hint="eastAsia" w:ascii="仿宋" w:hAnsi="仿宋" w:eastAsia="仿宋" w:cs="宋体"/>
                <w:kern w:val="0"/>
                <w:sz w:val="22"/>
                <w:u w:val="single"/>
              </w:rPr>
              <w:t>仅采用成本法评估时，应当获取企业关于相关资产的价值可以通过资产未来运营得以全额收回的承诺。</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⑵</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"操作说明!A312" </w:instrText>
            </w:r>
            <w:r>
              <w:fldChar w:fldCharType="separate"/>
            </w:r>
            <w:r>
              <w:rPr>
                <w:rFonts w:hint="eastAsia" w:ascii="仿宋" w:hAnsi="仿宋" w:eastAsia="仿宋" w:cs="宋体"/>
                <w:kern w:val="0"/>
                <w:sz w:val="22"/>
                <w:u w:val="single"/>
              </w:rPr>
              <w:t>合并对价分摊评估业务需收集的其他资料并进行核查验证</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⑶</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"操作说明!A323" </w:instrText>
            </w:r>
            <w:r>
              <w:fldChar w:fldCharType="separate"/>
            </w:r>
            <w:r>
              <w:rPr>
                <w:rFonts w:hint="eastAsia" w:ascii="仿宋" w:hAnsi="仿宋" w:eastAsia="仿宋" w:cs="宋体"/>
                <w:kern w:val="0"/>
                <w:sz w:val="22"/>
                <w:u w:val="single"/>
              </w:rPr>
              <w:t>商誉减值测试评估业务需收集的其他资料并进行核查验证</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⑷</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"操作说明!A337" </w:instrText>
            </w:r>
            <w:r>
              <w:fldChar w:fldCharType="separate"/>
            </w:r>
            <w:r>
              <w:rPr>
                <w:rFonts w:hint="eastAsia" w:ascii="仿宋" w:hAnsi="仿宋" w:eastAsia="仿宋" w:cs="宋体"/>
                <w:kern w:val="0"/>
                <w:sz w:val="22"/>
                <w:u w:val="single"/>
              </w:rPr>
              <w:t>资产减值测试评估业务需收集的其他资料并进行核查验证</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⑸</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"操作说明!A348" </w:instrText>
            </w:r>
            <w:r>
              <w:fldChar w:fldCharType="separate"/>
            </w:r>
            <w:r>
              <w:rPr>
                <w:rFonts w:hint="eastAsia" w:ascii="仿宋" w:hAnsi="仿宋" w:eastAsia="仿宋" w:cs="宋体"/>
                <w:kern w:val="0"/>
                <w:sz w:val="22"/>
                <w:u w:val="single"/>
              </w:rPr>
              <w:t>投资性房地产评估业务需收集的其他资料并进行核查验证</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"操作说明!A359" </w:instrText>
            </w:r>
            <w:r>
              <w:fldChar w:fldCharType="separate"/>
            </w:r>
            <w:r>
              <w:rPr>
                <w:rFonts w:hint="eastAsia" w:ascii="仿宋" w:hAnsi="仿宋" w:eastAsia="仿宋" w:cs="宋体"/>
                <w:kern w:val="0"/>
                <w:sz w:val="22"/>
                <w:u w:val="single"/>
              </w:rPr>
              <w:t>公允价值计量评估业务需收集的其他资料并进行核查验证</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5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rPr>
            </w:pPr>
            <w:r>
              <w:rPr>
                <w:rFonts w:hint="eastAsia" w:ascii="仿宋" w:hAnsi="仿宋" w:eastAsia="仿宋" w:cs="宋体"/>
                <w:kern w:val="0"/>
                <w:sz w:val="22"/>
              </w:rPr>
              <w:t>评定估算，包括下列内容：</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"操作说明!A373" </w:instrText>
            </w:r>
            <w:r>
              <w:fldChar w:fldCharType="separate"/>
            </w:r>
            <w:r>
              <w:rPr>
                <w:rFonts w:hint="eastAsia" w:ascii="仿宋" w:hAnsi="仿宋" w:eastAsia="仿宋" w:cs="宋体"/>
                <w:kern w:val="0"/>
                <w:sz w:val="22"/>
                <w:u w:val="single"/>
              </w:rPr>
              <w:t>评估方法选择的适用性分析</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⑵★</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"操作说明!A387" </w:instrText>
            </w:r>
            <w:r>
              <w:fldChar w:fldCharType="separate"/>
            </w:r>
            <w:r>
              <w:rPr>
                <w:rFonts w:hint="eastAsia" w:ascii="仿宋" w:hAnsi="仿宋" w:eastAsia="仿宋" w:cs="宋体"/>
                <w:kern w:val="0"/>
                <w:sz w:val="22"/>
                <w:u w:val="single"/>
              </w:rPr>
              <w:t>收益法</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"操作说明!A392" </w:instrText>
            </w:r>
            <w:r>
              <w:fldChar w:fldCharType="separate"/>
            </w:r>
            <w:r>
              <w:rPr>
                <w:rFonts w:hint="eastAsia" w:ascii="仿宋" w:hAnsi="仿宋" w:eastAsia="仿宋" w:cs="宋体"/>
                <w:kern w:val="0"/>
                <w:sz w:val="22"/>
                <w:u w:val="single"/>
              </w:rPr>
              <w:t>对委托人和其他相关当事人提供的资产组历史以及收集的可比对象的收益资料，进行必要的分析、判断和调整，合理确定评估假设</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"操作说明!A406" </w:instrText>
            </w:r>
            <w:r>
              <w:fldChar w:fldCharType="separate"/>
            </w:r>
            <w:r>
              <w:rPr>
                <w:rFonts w:hint="eastAsia" w:ascii="仿宋" w:hAnsi="仿宋" w:eastAsia="仿宋" w:cs="宋体"/>
                <w:kern w:val="0"/>
                <w:sz w:val="22"/>
                <w:u w:val="single"/>
              </w:rPr>
              <w:t>各主要预测数据计算方法的恰当性，测算过程的合理性</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100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③</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"操作说明!A414" </w:instrText>
            </w:r>
            <w:r>
              <w:fldChar w:fldCharType="separate"/>
            </w:r>
            <w:r>
              <w:rPr>
                <w:rFonts w:hint="eastAsia" w:ascii="仿宋" w:hAnsi="仿宋" w:eastAsia="仿宋" w:cs="宋体"/>
                <w:kern w:val="0"/>
                <w:sz w:val="22"/>
                <w:u w:val="single"/>
              </w:rPr>
              <w:t>关注未来收益预测中经营管理、业务架构、主营业务收入、毛利率、资本性支出、资本结构等主要参数与评估假设、价值类型、历史数据、现实状况的一致性；</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100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④</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"操作说明!A423" </w:instrText>
            </w:r>
            <w:r>
              <w:fldChar w:fldCharType="separate"/>
            </w:r>
            <w:r>
              <w:rPr>
                <w:rFonts w:hint="eastAsia" w:ascii="仿宋" w:hAnsi="仿宋" w:eastAsia="仿宋" w:cs="宋体"/>
                <w:kern w:val="0"/>
                <w:sz w:val="22"/>
                <w:u w:val="single"/>
              </w:rPr>
              <w:t>当预测趋势与历史业绩和现实经营状况存在重大差异时，资产评估专业人员应当在资产评估报告中予以披露，并对产生差异的原因及其合理性进行说明</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⑤</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"操作说明!A433" </w:instrText>
            </w:r>
            <w:r>
              <w:fldChar w:fldCharType="separate"/>
            </w:r>
            <w:r>
              <w:rPr>
                <w:rFonts w:hint="eastAsia" w:ascii="仿宋" w:hAnsi="仿宋" w:eastAsia="仿宋" w:cs="宋体"/>
                <w:kern w:val="0"/>
                <w:sz w:val="22"/>
                <w:u w:val="single"/>
              </w:rPr>
              <w:t>恰当确定收益期</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⑥</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"操作说明!A442" </w:instrText>
            </w:r>
            <w:r>
              <w:fldChar w:fldCharType="separate"/>
            </w:r>
            <w:r>
              <w:rPr>
                <w:rFonts w:hint="eastAsia" w:ascii="仿宋" w:hAnsi="仿宋" w:eastAsia="仿宋" w:cs="宋体"/>
                <w:kern w:val="0"/>
                <w:sz w:val="22"/>
                <w:u w:val="single"/>
              </w:rPr>
              <w:t>合理确定折现率</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⑦</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"操作说明!A451" </w:instrText>
            </w:r>
            <w:r>
              <w:fldChar w:fldCharType="separate"/>
            </w:r>
            <w:r>
              <w:rPr>
                <w:rFonts w:hint="eastAsia" w:ascii="仿宋" w:hAnsi="仿宋" w:eastAsia="仿宋" w:cs="宋体"/>
                <w:kern w:val="0"/>
                <w:sz w:val="22"/>
                <w:u w:val="single"/>
              </w:rPr>
              <w:t>折现率计算的正确性</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⑧</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"操作说明!A459" </w:instrText>
            </w:r>
            <w:r>
              <w:fldChar w:fldCharType="separate"/>
            </w:r>
            <w:r>
              <w:rPr>
                <w:rFonts w:hint="eastAsia" w:ascii="仿宋" w:hAnsi="仿宋" w:eastAsia="仿宋" w:cs="宋体"/>
                <w:kern w:val="0"/>
                <w:sz w:val="22"/>
                <w:u w:val="single"/>
              </w:rPr>
              <w:t>考虑收益预测期后的收益情况及相关终值计算的恰当性　</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⑨</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"操作说明!A469" </w:instrText>
            </w:r>
            <w:r>
              <w:fldChar w:fldCharType="separate"/>
            </w:r>
            <w:r>
              <w:rPr>
                <w:rFonts w:hint="eastAsia" w:ascii="仿宋" w:hAnsi="仿宋" w:eastAsia="仿宋" w:cs="宋体"/>
                <w:kern w:val="0"/>
                <w:sz w:val="22"/>
                <w:u w:val="single"/>
              </w:rPr>
              <w:t>收益折现模型（公式）运用的正确性</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r>
              <w:rPr>
                <w:rFonts w:ascii="仿宋" w:hAnsi="仿宋" w:eastAsia="仿宋" w:cs="宋体"/>
                <w:kern w:val="0"/>
                <w:sz w:val="22"/>
              </w:rPr>
              <w:t>)</w:t>
            </w:r>
            <w:r>
              <w:rPr>
                <w:rFonts w:hint="eastAsia" w:ascii="仿宋" w:hAnsi="仿宋" w:eastAsia="仿宋" w:cs="宋体"/>
                <w:kern w:val="0"/>
                <w:sz w:val="22"/>
              </w:rPr>
              <w:t>★</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"操作说明!A477" </w:instrText>
            </w:r>
            <w:r>
              <w:fldChar w:fldCharType="separate"/>
            </w:r>
            <w:r>
              <w:rPr>
                <w:rFonts w:hint="eastAsia" w:ascii="仿宋" w:hAnsi="仿宋" w:eastAsia="仿宋" w:cs="宋体"/>
                <w:kern w:val="0"/>
                <w:sz w:val="22"/>
                <w:u w:val="single"/>
              </w:rPr>
              <w:t>市场法</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"操作说明!A482" </w:instrText>
            </w:r>
            <w:r>
              <w:fldChar w:fldCharType="separate"/>
            </w:r>
            <w:r>
              <w:rPr>
                <w:rFonts w:hint="eastAsia" w:ascii="仿宋" w:hAnsi="仿宋" w:eastAsia="仿宋" w:cs="宋体"/>
                <w:kern w:val="0"/>
                <w:sz w:val="22"/>
                <w:u w:val="single"/>
              </w:rPr>
              <w:t>交易实例选择恰当、充分</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"操作说明!A495" </w:instrText>
            </w:r>
            <w:r>
              <w:fldChar w:fldCharType="separate"/>
            </w:r>
            <w:r>
              <w:rPr>
                <w:rFonts w:hint="eastAsia" w:ascii="仿宋" w:hAnsi="仿宋" w:eastAsia="仿宋" w:cs="宋体"/>
                <w:kern w:val="0"/>
                <w:sz w:val="22"/>
                <w:u w:val="single"/>
              </w:rPr>
              <w:t>实例信息描述完整、真实、可靠</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③</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"操作说明!A504" </w:instrText>
            </w:r>
            <w:r>
              <w:fldChar w:fldCharType="separate"/>
            </w:r>
            <w:r>
              <w:rPr>
                <w:rFonts w:hint="eastAsia" w:ascii="仿宋" w:hAnsi="仿宋" w:eastAsia="仿宋" w:cs="宋体"/>
                <w:kern w:val="0"/>
                <w:sz w:val="22"/>
                <w:u w:val="single"/>
              </w:rPr>
              <w:t>各项修正因素考虑合理、充分，逻辑关系正确</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⑷★</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rPr>
            </w:pPr>
            <w:r>
              <w:rPr>
                <w:rFonts w:hint="eastAsia" w:ascii="仿宋" w:hAnsi="仿宋" w:eastAsia="仿宋" w:cs="宋体"/>
                <w:kern w:val="0"/>
                <w:sz w:val="22"/>
              </w:rPr>
              <w:t>成本法</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"操作说明!A517" </w:instrText>
            </w:r>
            <w:r>
              <w:fldChar w:fldCharType="separate"/>
            </w:r>
            <w:r>
              <w:rPr>
                <w:rFonts w:hint="eastAsia" w:ascii="仿宋" w:hAnsi="仿宋" w:eastAsia="仿宋" w:cs="宋体"/>
                <w:kern w:val="0"/>
                <w:sz w:val="22"/>
                <w:u w:val="single"/>
              </w:rPr>
              <w:t>应当根据会计政策、企业经营等情况，要求被评估单位对资产负债表表内及表外的各项资产、负债进行识别</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"操作说明!A529" </w:instrText>
            </w:r>
            <w:r>
              <w:fldChar w:fldCharType="separate"/>
            </w:r>
            <w:r>
              <w:rPr>
                <w:rFonts w:hint="eastAsia" w:ascii="仿宋" w:hAnsi="仿宋" w:eastAsia="仿宋" w:cs="宋体"/>
                <w:kern w:val="0"/>
                <w:sz w:val="22"/>
                <w:u w:val="single"/>
              </w:rPr>
              <w:t>各项资产的价值应当根据其具体情况选用适当的具体评估方法得出</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③</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"操作说明!A538" </w:instrText>
            </w:r>
            <w:r>
              <w:fldChar w:fldCharType="separate"/>
            </w:r>
            <w:r>
              <w:rPr>
                <w:rFonts w:hint="eastAsia" w:ascii="仿宋" w:hAnsi="仿宋" w:eastAsia="仿宋" w:cs="宋体"/>
                <w:kern w:val="0"/>
                <w:sz w:val="22"/>
                <w:u w:val="single"/>
              </w:rPr>
              <w:t>确定完全重置成本的过程和结果</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④</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"操作说明!A547" </w:instrText>
            </w:r>
            <w:r>
              <w:fldChar w:fldCharType="separate"/>
            </w:r>
            <w:r>
              <w:rPr>
                <w:rFonts w:hint="eastAsia" w:ascii="仿宋" w:hAnsi="仿宋" w:eastAsia="仿宋" w:cs="宋体"/>
                <w:kern w:val="0"/>
                <w:sz w:val="22"/>
                <w:u w:val="single"/>
              </w:rPr>
              <w:t>确定成新率或各项贬值因素的过程和结果</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rPr>
            </w:pPr>
            <w:r>
              <w:rPr>
                <w:rFonts w:hint="eastAsia" w:ascii="仿宋" w:hAnsi="仿宋" w:eastAsia="仿宋" w:cs="宋体"/>
                <w:kern w:val="0"/>
                <w:sz w:val="22"/>
              </w:rPr>
              <w:t>其他评估方法</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"操作说明!A558" </w:instrText>
            </w:r>
            <w:r>
              <w:fldChar w:fldCharType="separate"/>
            </w:r>
            <w:r>
              <w:rPr>
                <w:rFonts w:hint="eastAsia" w:ascii="仿宋" w:hAnsi="仿宋" w:eastAsia="仿宋" w:cs="宋体"/>
                <w:kern w:val="0"/>
                <w:sz w:val="22"/>
                <w:u w:val="single"/>
              </w:rPr>
              <w:t>评估方法思路或计算模型理论依据充分，阐述清晰明确</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"操作说明!A565" </w:instrText>
            </w:r>
            <w:r>
              <w:fldChar w:fldCharType="separate"/>
            </w:r>
            <w:r>
              <w:rPr>
                <w:rFonts w:hint="eastAsia" w:ascii="仿宋" w:hAnsi="仿宋" w:eastAsia="仿宋" w:cs="宋体"/>
                <w:kern w:val="0"/>
                <w:sz w:val="22"/>
                <w:u w:val="single"/>
              </w:rPr>
              <w:t>评估方法或计算模型相关参数取值影响因素考虑合理、充分</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③</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"操作说明!A573" </w:instrText>
            </w:r>
            <w:r>
              <w:fldChar w:fldCharType="separate"/>
            </w:r>
            <w:r>
              <w:rPr>
                <w:rFonts w:hint="eastAsia" w:ascii="仿宋" w:hAnsi="仿宋" w:eastAsia="仿宋" w:cs="宋体"/>
                <w:kern w:val="0"/>
                <w:sz w:val="22"/>
                <w:u w:val="single"/>
              </w:rPr>
              <w:t>各项参数内涵的口径保持一致</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35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rPr>
            </w:pPr>
            <w:r>
              <w:rPr>
                <w:rFonts w:hint="eastAsia" w:ascii="仿宋" w:hAnsi="仿宋" w:eastAsia="仿宋" w:cs="宋体"/>
                <w:kern w:val="0"/>
                <w:sz w:val="22"/>
              </w:rPr>
              <w:t>其他关注事项</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"操作说明!A582" </w:instrText>
            </w:r>
            <w:r>
              <w:fldChar w:fldCharType="separate"/>
            </w:r>
            <w:r>
              <w:rPr>
                <w:rFonts w:hint="eastAsia" w:ascii="仿宋" w:hAnsi="仿宋" w:eastAsia="仿宋" w:cs="宋体"/>
                <w:kern w:val="0"/>
                <w:sz w:val="22"/>
                <w:u w:val="single"/>
              </w:rPr>
              <w:t>本次评估与前次评估所采用的评估方法是否一致</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"操作说明!A593" </w:instrText>
            </w:r>
            <w:r>
              <w:fldChar w:fldCharType="separate"/>
            </w:r>
            <w:r>
              <w:rPr>
                <w:rFonts w:hint="eastAsia" w:ascii="仿宋" w:hAnsi="仿宋" w:eastAsia="仿宋" w:cs="宋体"/>
                <w:kern w:val="0"/>
                <w:sz w:val="22"/>
                <w:u w:val="single"/>
              </w:rPr>
              <w:t>恰当地考虑了处置费用、交易税费等</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③</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"操作说明!A603" </w:instrText>
            </w:r>
            <w:r>
              <w:fldChar w:fldCharType="separate"/>
            </w:r>
            <w:r>
              <w:rPr>
                <w:rFonts w:hint="eastAsia" w:ascii="仿宋" w:hAnsi="仿宋" w:eastAsia="仿宋" w:cs="宋体"/>
                <w:kern w:val="0"/>
                <w:sz w:val="22"/>
                <w:u w:val="single"/>
              </w:rPr>
              <w:t>资产减值测试评估业务采用现金流折现模型时，折现率与预期收益应当为税前口径</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④</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"操作说明!A610" </w:instrText>
            </w:r>
            <w:r>
              <w:fldChar w:fldCharType="separate"/>
            </w:r>
            <w:r>
              <w:rPr>
                <w:rFonts w:hint="eastAsia" w:ascii="仿宋" w:hAnsi="仿宋" w:eastAsia="仿宋" w:cs="宋体"/>
                <w:kern w:val="0"/>
                <w:sz w:val="22"/>
                <w:u w:val="single"/>
              </w:rPr>
              <w:t>对于合并对价分摊评估业务，应对账面未记录但可识别及计量的无形资产进行评估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⑺</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"操作说明!A621" </w:instrText>
            </w:r>
            <w:r>
              <w:fldChar w:fldCharType="separate"/>
            </w:r>
            <w:r>
              <w:rPr>
                <w:rFonts w:hint="eastAsia" w:ascii="仿宋" w:hAnsi="仿宋" w:eastAsia="仿宋" w:cs="宋体"/>
                <w:kern w:val="0"/>
                <w:sz w:val="22"/>
                <w:u w:val="single"/>
              </w:rPr>
              <w:t>评定估算过程和结果正确</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"操作说明!A633" </w:instrText>
            </w:r>
            <w:r>
              <w:fldChar w:fldCharType="separate"/>
            </w:r>
            <w:r>
              <w:rPr>
                <w:rFonts w:hint="eastAsia" w:ascii="仿宋" w:hAnsi="仿宋" w:eastAsia="仿宋" w:cs="宋体"/>
                <w:kern w:val="0"/>
                <w:sz w:val="22"/>
                <w:u w:val="single"/>
              </w:rPr>
              <w:t>重要的利用专家工作及相关报告情况</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rPr>
            </w:pPr>
            <w:r>
              <w:rPr>
                <w:rFonts w:hint="eastAsia" w:ascii="仿宋" w:hAnsi="仿宋" w:eastAsia="仿宋" w:cs="宋体"/>
                <w:kern w:val="0"/>
                <w:sz w:val="22"/>
              </w:rPr>
              <w:t>资产评估机构内部复核工作</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⑴</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"操作说明!A654" </w:instrText>
            </w:r>
            <w:r>
              <w:fldChar w:fldCharType="separate"/>
            </w:r>
            <w:r>
              <w:rPr>
                <w:rFonts w:hint="eastAsia" w:ascii="仿宋" w:hAnsi="仿宋" w:eastAsia="仿宋" w:cs="宋体"/>
                <w:kern w:val="0"/>
                <w:sz w:val="22"/>
                <w:u w:val="single"/>
              </w:rPr>
              <w:t>复核意见记录</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整理归集评估档案</w:t>
            </w:r>
          </w:p>
        </w:tc>
        <w:tc>
          <w:tcPr>
            <w:tcW w:w="625" w:type="pct"/>
            <w:tcBorders>
              <w:top w:val="nil"/>
              <w:left w:val="nil"/>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000000" w:fill="BFBFBF"/>
            <w:noWrap/>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⑴</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"操作说明!A672" </w:instrText>
            </w:r>
            <w:r>
              <w:fldChar w:fldCharType="separate"/>
            </w:r>
            <w:r>
              <w:rPr>
                <w:rFonts w:hint="eastAsia" w:ascii="仿宋" w:hAnsi="仿宋" w:eastAsia="仿宋" w:cs="宋体"/>
                <w:kern w:val="0"/>
                <w:sz w:val="22"/>
                <w:u w:val="single"/>
              </w:rPr>
              <w:t>各种形式的归档底稿内容是否完整、一致</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⑵</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"操作说明!A693" </w:instrText>
            </w:r>
            <w:r>
              <w:fldChar w:fldCharType="separate"/>
            </w:r>
            <w:r>
              <w:rPr>
                <w:rFonts w:hint="eastAsia" w:ascii="仿宋" w:hAnsi="仿宋" w:eastAsia="仿宋" w:cs="宋体"/>
                <w:kern w:val="0"/>
                <w:sz w:val="22"/>
                <w:u w:val="single"/>
              </w:rPr>
              <w:t>资产评估档案的归集</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⑶</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"操作说明!A706" </w:instrText>
            </w:r>
            <w:r>
              <w:fldChar w:fldCharType="separate"/>
            </w:r>
            <w:r>
              <w:rPr>
                <w:rFonts w:hint="eastAsia" w:ascii="仿宋" w:hAnsi="仿宋" w:eastAsia="仿宋" w:cs="宋体"/>
                <w:kern w:val="0"/>
                <w:sz w:val="22"/>
                <w:u w:val="single"/>
              </w:rPr>
              <w:t>资产评估档案的管理</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评估工作底稿规范性和完整性存在重点关注问题得分项数合计：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0分项数小计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1分项数小计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2分项数小计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3分项数小计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3分（含3分）以下项平均得分</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2分（含2分）以下项平均得分</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1945" w:hRule="atLeast"/>
        </w:trPr>
        <w:tc>
          <w:tcPr>
            <w:tcW w:w="43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4567" w:type="pct"/>
            <w:gridSpan w:val="3"/>
            <w:tcBorders>
              <w:top w:val="single" w:color="auto" w:sz="4" w:space="0"/>
              <w:left w:val="nil"/>
              <w:bottom w:val="single" w:color="auto" w:sz="4" w:space="0"/>
              <w:right w:val="single" w:color="000000" w:sz="4" w:space="0"/>
            </w:tcBorders>
            <w:shd w:val="clear" w:color="auto" w:fill="auto"/>
          </w:tcPr>
          <w:p>
            <w:pPr>
              <w:widowControl/>
              <w:jc w:val="left"/>
              <w:rPr>
                <w:rFonts w:ascii="仿宋" w:hAnsi="仿宋" w:eastAsia="仿宋" w:cs="宋体"/>
                <w:kern w:val="0"/>
                <w:sz w:val="22"/>
              </w:rPr>
            </w:pPr>
            <w:r>
              <w:rPr>
                <w:rFonts w:hint="eastAsia" w:ascii="仿宋" w:hAnsi="仿宋" w:eastAsia="仿宋" w:cs="宋体"/>
                <w:kern w:val="0"/>
                <w:sz w:val="22"/>
              </w:rPr>
              <w:t>评估工作底稿规范性和完备性检查意见（指出存在的主要问题）：</w:t>
            </w:r>
          </w:p>
        </w:tc>
      </w:tr>
      <w:tr>
        <w:tblPrEx>
          <w:tblCellMar>
            <w:top w:w="0" w:type="dxa"/>
            <w:left w:w="108" w:type="dxa"/>
            <w:bottom w:w="0" w:type="dxa"/>
            <w:right w:w="108" w:type="dxa"/>
          </w:tblCellMar>
        </w:tblPrEx>
        <w:trPr>
          <w:trHeight w:val="41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二、资产评估报告的规范性和完备性</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（一）★</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资产评估报告</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"操作说明!A722" </w:instrText>
            </w:r>
            <w:r>
              <w:fldChar w:fldCharType="separate"/>
            </w:r>
            <w:r>
              <w:rPr>
                <w:rFonts w:hint="eastAsia" w:ascii="仿宋" w:hAnsi="仿宋" w:eastAsia="仿宋" w:cs="宋体"/>
                <w:kern w:val="0"/>
                <w:sz w:val="22"/>
                <w:u w:val="single"/>
              </w:rPr>
              <w:t>资产评估报告主要内容完整性</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"操作说明!A745" </w:instrText>
            </w:r>
            <w:r>
              <w:fldChar w:fldCharType="separate"/>
            </w:r>
            <w:r>
              <w:rPr>
                <w:rFonts w:hint="eastAsia" w:ascii="仿宋" w:hAnsi="仿宋" w:eastAsia="仿宋" w:cs="宋体"/>
                <w:kern w:val="0"/>
                <w:sz w:val="22"/>
                <w:u w:val="single"/>
              </w:rPr>
              <w:t>资产评估报告正文完整性</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"操作说明!A767" </w:instrText>
            </w:r>
            <w:r>
              <w:fldChar w:fldCharType="separate"/>
            </w:r>
            <w:r>
              <w:rPr>
                <w:rFonts w:hint="eastAsia" w:ascii="仿宋" w:hAnsi="仿宋" w:eastAsia="仿宋" w:cs="宋体"/>
                <w:kern w:val="0"/>
                <w:sz w:val="22"/>
                <w:u w:val="single"/>
              </w:rPr>
              <w:t>委托人、产权持有单位及资产评估委托合同约定的其他资产评估报告使用人</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"操作说明!A778" </w:instrText>
            </w:r>
            <w:r>
              <w:fldChar w:fldCharType="separate"/>
            </w:r>
            <w:r>
              <w:rPr>
                <w:rFonts w:hint="eastAsia" w:ascii="仿宋" w:hAnsi="仿宋" w:eastAsia="仿宋" w:cs="宋体"/>
                <w:kern w:val="0"/>
                <w:sz w:val="22"/>
                <w:u w:val="single"/>
              </w:rPr>
              <w:t>评估目的</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"操作说明!A788" </w:instrText>
            </w:r>
            <w:r>
              <w:fldChar w:fldCharType="separate"/>
            </w:r>
            <w:r>
              <w:rPr>
                <w:rFonts w:hint="eastAsia" w:ascii="仿宋" w:hAnsi="仿宋" w:eastAsia="仿宋" w:cs="宋体"/>
                <w:kern w:val="0"/>
                <w:sz w:val="22"/>
                <w:u w:val="single"/>
              </w:rPr>
              <w:t>评估对象和评估范围</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"操作说明!A810" </w:instrText>
            </w:r>
            <w:r>
              <w:fldChar w:fldCharType="separate"/>
            </w:r>
            <w:r>
              <w:rPr>
                <w:rFonts w:hint="eastAsia" w:ascii="仿宋" w:hAnsi="仿宋" w:eastAsia="仿宋" w:cs="宋体"/>
                <w:kern w:val="0"/>
                <w:sz w:val="22"/>
                <w:u w:val="single"/>
              </w:rPr>
              <w:t>价值类型</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"操作说明!A829" </w:instrText>
            </w:r>
            <w:r>
              <w:fldChar w:fldCharType="separate"/>
            </w:r>
            <w:r>
              <w:rPr>
                <w:rFonts w:hint="eastAsia" w:ascii="仿宋" w:hAnsi="仿宋" w:eastAsia="仿宋" w:cs="宋体"/>
                <w:kern w:val="0"/>
                <w:sz w:val="22"/>
                <w:u w:val="single"/>
              </w:rPr>
              <w:t>评估基准日</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"操作说明!A843" </w:instrText>
            </w:r>
            <w:r>
              <w:fldChar w:fldCharType="separate"/>
            </w:r>
            <w:r>
              <w:rPr>
                <w:rFonts w:hint="eastAsia" w:ascii="仿宋" w:hAnsi="仿宋" w:eastAsia="仿宋" w:cs="宋体"/>
                <w:kern w:val="0"/>
                <w:sz w:val="22"/>
                <w:u w:val="single"/>
              </w:rPr>
              <w:t>评估依据</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"操作说明!A853" </w:instrText>
            </w:r>
            <w:r>
              <w:fldChar w:fldCharType="separate"/>
            </w:r>
            <w:r>
              <w:rPr>
                <w:rFonts w:hint="eastAsia" w:ascii="仿宋" w:hAnsi="仿宋" w:eastAsia="仿宋" w:cs="宋体"/>
                <w:kern w:val="0"/>
                <w:sz w:val="22"/>
                <w:u w:val="single"/>
              </w:rPr>
              <w:t>评估方法</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"操作说明!A870" </w:instrText>
            </w:r>
            <w:r>
              <w:fldChar w:fldCharType="separate"/>
            </w:r>
            <w:r>
              <w:rPr>
                <w:rFonts w:hint="eastAsia" w:ascii="仿宋" w:hAnsi="仿宋" w:eastAsia="仿宋" w:cs="宋体"/>
                <w:kern w:val="0"/>
                <w:sz w:val="22"/>
                <w:u w:val="single"/>
              </w:rPr>
              <w:t>评估程序实施的过程和情况</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000000" w:fill="BFBFBF"/>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"操作说明!A880" </w:instrText>
            </w:r>
            <w:r>
              <w:fldChar w:fldCharType="separate"/>
            </w:r>
            <w:r>
              <w:rPr>
                <w:rFonts w:hint="eastAsia" w:ascii="仿宋" w:hAnsi="仿宋" w:eastAsia="仿宋" w:cs="宋体"/>
                <w:kern w:val="0"/>
                <w:sz w:val="22"/>
                <w:u w:val="single"/>
              </w:rPr>
              <w:t>评估实施的主要程序</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⑵★</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评估方法运用实施过程</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000000" w:fill="BFBFBF"/>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①</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"操作说明!A894" </w:instrText>
            </w:r>
            <w:r>
              <w:fldChar w:fldCharType="separate"/>
            </w:r>
            <w:r>
              <w:rPr>
                <w:rFonts w:hint="eastAsia" w:ascii="仿宋" w:hAnsi="仿宋" w:eastAsia="仿宋" w:cs="宋体"/>
                <w:kern w:val="0"/>
                <w:sz w:val="22"/>
                <w:u w:val="single"/>
              </w:rPr>
              <w:t>评估方法的运用和逻辑推理计算过程</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②★</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资本化率、折现率、价值比率、成新率等重要参数的获取来源和形成过程</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Ⅰ★</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采用收益法的，确定收益期限、预期收益和折现率等重要参数的获取来源和形成过程</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ⅰ</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"操作说明!A906" </w:instrText>
            </w:r>
            <w:r>
              <w:fldChar w:fldCharType="separate"/>
            </w:r>
            <w:r>
              <w:rPr>
                <w:rFonts w:hint="eastAsia" w:ascii="仿宋" w:hAnsi="仿宋" w:eastAsia="仿宋" w:cs="宋体"/>
                <w:kern w:val="0"/>
                <w:sz w:val="22"/>
                <w:u w:val="single"/>
              </w:rPr>
              <w:t>确定收益期考虑因素、依据分析及形成过程阐述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ⅱ</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"操作说明!A914" </w:instrText>
            </w:r>
            <w:r>
              <w:fldChar w:fldCharType="separate"/>
            </w:r>
            <w:r>
              <w:rPr>
                <w:rFonts w:hint="eastAsia" w:ascii="仿宋" w:hAnsi="仿宋" w:eastAsia="仿宋" w:cs="宋体"/>
                <w:kern w:val="0"/>
                <w:sz w:val="22"/>
                <w:u w:val="single"/>
              </w:rPr>
              <w:t>预期收益考虑因素考虑、取值依据分析及形成过程阐述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ⅲ</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"操作说明!A922" </w:instrText>
            </w:r>
            <w:r>
              <w:fldChar w:fldCharType="separate"/>
            </w:r>
            <w:r>
              <w:rPr>
                <w:rFonts w:hint="eastAsia" w:ascii="仿宋" w:hAnsi="仿宋" w:eastAsia="仿宋" w:cs="宋体"/>
                <w:kern w:val="0"/>
                <w:sz w:val="22"/>
                <w:u w:val="single"/>
              </w:rPr>
              <w:t>确定折现率考虑因素、取值依据分析及形成过程阐述；折现率口径与收益口径一致性。</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ⅳ</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"操作说明!A931" </w:instrText>
            </w:r>
            <w:r>
              <w:fldChar w:fldCharType="separate"/>
            </w:r>
            <w:r>
              <w:rPr>
                <w:rFonts w:hint="eastAsia" w:ascii="仿宋" w:hAnsi="仿宋" w:eastAsia="仿宋" w:cs="宋体"/>
                <w:kern w:val="0"/>
                <w:sz w:val="22"/>
                <w:u w:val="single"/>
              </w:rPr>
              <w:t>评估计算过程和结果阐述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Ⅱ★</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采用市场法的，确定价值比率等重要参数的获取来源和形成过程</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ⅰ</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"操作说明!A942" </w:instrText>
            </w:r>
            <w:r>
              <w:fldChar w:fldCharType="separate"/>
            </w:r>
            <w:r>
              <w:rPr>
                <w:rFonts w:hint="eastAsia" w:ascii="仿宋" w:hAnsi="仿宋" w:eastAsia="仿宋" w:cs="宋体"/>
                <w:kern w:val="0"/>
                <w:sz w:val="22"/>
                <w:u w:val="single"/>
              </w:rPr>
              <w:t>选择案例的依据或理由阐述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ⅱ</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"操作说明!A950" </w:instrText>
            </w:r>
            <w:r>
              <w:fldChar w:fldCharType="separate"/>
            </w:r>
            <w:r>
              <w:rPr>
                <w:rFonts w:hint="eastAsia" w:ascii="仿宋" w:hAnsi="仿宋" w:eastAsia="仿宋" w:cs="宋体"/>
                <w:kern w:val="0"/>
                <w:sz w:val="22"/>
                <w:u w:val="single"/>
              </w:rPr>
              <w:t>案例信息披露</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ⅲ</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"操作说明!A958" </w:instrText>
            </w:r>
            <w:r>
              <w:fldChar w:fldCharType="separate"/>
            </w:r>
            <w:r>
              <w:rPr>
                <w:rFonts w:hint="eastAsia" w:ascii="仿宋" w:hAnsi="仿宋" w:eastAsia="仿宋" w:cs="宋体"/>
                <w:kern w:val="0"/>
                <w:sz w:val="22"/>
                <w:u w:val="single"/>
              </w:rPr>
              <w:t>各项修正因素考虑、逻辑关系分析，取值依据分析、因素比较修正情况阐述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ⅳ</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"操作说明!A967" </w:instrText>
            </w:r>
            <w:r>
              <w:fldChar w:fldCharType="separate"/>
            </w:r>
            <w:r>
              <w:rPr>
                <w:rFonts w:hint="eastAsia" w:ascii="仿宋" w:hAnsi="仿宋" w:eastAsia="仿宋" w:cs="宋体"/>
                <w:kern w:val="0"/>
                <w:sz w:val="22"/>
                <w:u w:val="single"/>
              </w:rPr>
              <w:t>评估计算过程和结果阐述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Ⅲ★</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采用成本法的，确定重置成本和成新率（各相关贬值因素）等重要参数的获取来源和形成过程</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ⅰ</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"操作说明!A978" </w:instrText>
            </w:r>
            <w:r>
              <w:fldChar w:fldCharType="separate"/>
            </w:r>
            <w:r>
              <w:rPr>
                <w:rFonts w:hint="eastAsia" w:ascii="仿宋" w:hAnsi="仿宋" w:eastAsia="仿宋" w:cs="宋体"/>
                <w:kern w:val="0"/>
                <w:sz w:val="22"/>
                <w:u w:val="single"/>
              </w:rPr>
              <w:t>确定重置成本，构成要素、取值依据分析及形成过程阐述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ⅱ</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"操作说明!A989" </w:instrText>
            </w:r>
            <w:r>
              <w:fldChar w:fldCharType="separate"/>
            </w:r>
            <w:r>
              <w:rPr>
                <w:rFonts w:hint="eastAsia" w:ascii="仿宋" w:hAnsi="仿宋" w:eastAsia="仿宋" w:cs="宋体"/>
                <w:kern w:val="0"/>
                <w:sz w:val="22"/>
                <w:u w:val="single"/>
              </w:rPr>
              <w:t>确定成新率，各项贬值因素考虑、取值依据分析及形成过程阐述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ⅲ</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"操作说明!A1000" </w:instrText>
            </w:r>
            <w:r>
              <w:fldChar w:fldCharType="separate"/>
            </w:r>
            <w:r>
              <w:rPr>
                <w:rFonts w:hint="eastAsia" w:ascii="仿宋" w:hAnsi="仿宋" w:eastAsia="仿宋" w:cs="宋体"/>
                <w:kern w:val="0"/>
                <w:sz w:val="22"/>
                <w:u w:val="single"/>
              </w:rPr>
              <w:t>计算分析过程及计算结果阐述</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Ⅳ★</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rPr>
            </w:pPr>
            <w:r>
              <w:rPr>
                <w:rFonts w:hint="eastAsia" w:ascii="仿宋" w:hAnsi="仿宋" w:eastAsia="仿宋" w:cs="宋体"/>
                <w:kern w:val="0"/>
                <w:sz w:val="22"/>
              </w:rPr>
              <w:t>其他评估方法</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Times New Roman"/>
                <w:kern w:val="0"/>
                <w:sz w:val="20"/>
                <w:szCs w:val="20"/>
              </w:rPr>
            </w:pPr>
            <w:r>
              <w:rPr>
                <w:rFonts w:ascii="仿宋" w:hAnsi="仿宋" w:eastAsia="仿宋" w:cs="Times New Roman"/>
                <w:kern w:val="0"/>
                <w:sz w:val="20"/>
                <w:szCs w:val="20"/>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Times New Roman"/>
                <w:kern w:val="0"/>
                <w:sz w:val="20"/>
                <w:szCs w:val="20"/>
              </w:rPr>
            </w:pPr>
            <w:r>
              <w:rPr>
                <w:rFonts w:ascii="仿宋" w:hAnsi="仿宋" w:eastAsia="仿宋" w:cs="Times New Roman"/>
                <w:kern w:val="0"/>
                <w:sz w:val="20"/>
                <w:szCs w:val="20"/>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ⅰ</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"操作说明!A1011" </w:instrText>
            </w:r>
            <w:r>
              <w:fldChar w:fldCharType="separate"/>
            </w:r>
            <w:r>
              <w:rPr>
                <w:rFonts w:hint="eastAsia" w:ascii="仿宋" w:hAnsi="仿宋" w:eastAsia="仿宋" w:cs="宋体"/>
                <w:kern w:val="0"/>
                <w:sz w:val="22"/>
                <w:u w:val="single"/>
              </w:rPr>
              <w:t>评估方法思路或计算模型理论依据充分，阐述清晰明确</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ⅱ</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"操作说明!A1018" </w:instrText>
            </w:r>
            <w:r>
              <w:fldChar w:fldCharType="separate"/>
            </w:r>
            <w:r>
              <w:rPr>
                <w:rFonts w:hint="eastAsia" w:ascii="仿宋" w:hAnsi="仿宋" w:eastAsia="仿宋" w:cs="宋体"/>
                <w:kern w:val="0"/>
                <w:sz w:val="22"/>
                <w:u w:val="single"/>
              </w:rPr>
              <w:t>评估方法或计算模型相关参数取值影响因素考虑合理、充分</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ⅲ</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"操作说明!A1026" </w:instrText>
            </w:r>
            <w:r>
              <w:fldChar w:fldCharType="separate"/>
            </w:r>
            <w:r>
              <w:rPr>
                <w:rFonts w:hint="eastAsia" w:ascii="仿宋" w:hAnsi="仿宋" w:eastAsia="仿宋" w:cs="宋体"/>
                <w:kern w:val="0"/>
                <w:sz w:val="22"/>
                <w:u w:val="single"/>
              </w:rPr>
              <w:t>各项参数内涵的口径保持一致</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Ⅴ</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"操作说明!A1034" </w:instrText>
            </w:r>
            <w:r>
              <w:fldChar w:fldCharType="separate"/>
            </w:r>
            <w:r>
              <w:rPr>
                <w:rFonts w:hint="eastAsia" w:ascii="仿宋" w:hAnsi="仿宋" w:eastAsia="仿宋" w:cs="宋体"/>
                <w:kern w:val="0"/>
                <w:sz w:val="22"/>
                <w:u w:val="single"/>
              </w:rPr>
              <w:t>恰当地考虑了处置费用、交易税费等</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③</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"操作说明!A1043" </w:instrText>
            </w:r>
            <w:r>
              <w:fldChar w:fldCharType="separate"/>
            </w:r>
            <w:r>
              <w:rPr>
                <w:rFonts w:hint="eastAsia" w:ascii="仿宋" w:hAnsi="仿宋" w:eastAsia="仿宋" w:cs="宋体"/>
                <w:kern w:val="0"/>
                <w:sz w:val="22"/>
                <w:u w:val="single"/>
              </w:rPr>
              <w:t>对初步评估结论进行综合分析，形成最终评估结论的过程</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3463" w:type="pct"/>
            <w:tcBorders>
              <w:top w:val="nil"/>
              <w:left w:val="nil"/>
              <w:bottom w:val="single" w:color="auto" w:sz="4" w:space="0"/>
              <w:right w:val="single" w:color="auto" w:sz="4" w:space="0"/>
            </w:tcBorders>
            <w:shd w:val="clear" w:color="000000" w:fill="BFBFBF"/>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"操作说明!A1052" </w:instrText>
            </w:r>
            <w:r>
              <w:fldChar w:fldCharType="separate"/>
            </w:r>
            <w:r>
              <w:rPr>
                <w:rFonts w:hint="eastAsia" w:ascii="仿宋" w:hAnsi="仿宋" w:eastAsia="仿宋" w:cs="宋体"/>
                <w:kern w:val="0"/>
                <w:sz w:val="22"/>
                <w:u w:val="single"/>
              </w:rPr>
              <w:t>评估假设</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000000" w:fill="BFBFBF"/>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"操作说明!A1056" </w:instrText>
            </w:r>
            <w:r>
              <w:fldChar w:fldCharType="separate"/>
            </w:r>
            <w:r>
              <w:rPr>
                <w:rFonts w:hint="eastAsia" w:ascii="仿宋" w:hAnsi="仿宋" w:eastAsia="仿宋" w:cs="宋体"/>
                <w:kern w:val="0"/>
                <w:sz w:val="22"/>
                <w:u w:val="single"/>
              </w:rPr>
              <w:t>披露主要影响评估分析、判断和结论的评估假设和限制条件</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"操作说明!A1066" </w:instrText>
            </w:r>
            <w:r>
              <w:fldChar w:fldCharType="separate"/>
            </w:r>
            <w:r>
              <w:rPr>
                <w:rFonts w:hint="eastAsia" w:ascii="仿宋" w:hAnsi="仿宋" w:eastAsia="仿宋" w:cs="宋体"/>
                <w:kern w:val="0"/>
                <w:sz w:val="22"/>
                <w:u w:val="single"/>
              </w:rPr>
              <w:t>就评估假设和限制条件对评估结论的影响进行了必要说明</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rPr>
            </w:pPr>
            <w:r>
              <w:rPr>
                <w:rFonts w:hint="eastAsia" w:ascii="仿宋" w:hAnsi="仿宋" w:eastAsia="仿宋" w:cs="宋体"/>
                <w:kern w:val="0"/>
                <w:sz w:val="22"/>
              </w:rPr>
              <w:t>评估结论</w:t>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"操作说明!A1076" </w:instrText>
            </w:r>
            <w:r>
              <w:fldChar w:fldCharType="separate"/>
            </w:r>
            <w:r>
              <w:rPr>
                <w:rFonts w:hint="eastAsia" w:ascii="仿宋" w:hAnsi="仿宋" w:eastAsia="仿宋" w:cs="宋体"/>
                <w:kern w:val="0"/>
                <w:sz w:val="22"/>
                <w:u w:val="single"/>
              </w:rPr>
              <w:t>评估结论计算正确</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"操作说明!A1089" </w:instrText>
            </w:r>
            <w:r>
              <w:fldChar w:fldCharType="separate"/>
            </w:r>
            <w:r>
              <w:rPr>
                <w:rFonts w:hint="eastAsia" w:ascii="仿宋" w:hAnsi="仿宋" w:eastAsia="仿宋" w:cs="宋体"/>
                <w:kern w:val="0"/>
                <w:sz w:val="22"/>
                <w:u w:val="single"/>
              </w:rPr>
              <w:t>评估结论披露充分、准确</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BFBFB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3463"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"操作说明!A1101" </w:instrText>
            </w:r>
            <w:r>
              <w:fldChar w:fldCharType="separate"/>
            </w:r>
            <w:r>
              <w:rPr>
                <w:rFonts w:hint="eastAsia" w:ascii="仿宋" w:hAnsi="仿宋" w:eastAsia="仿宋" w:cs="宋体"/>
                <w:kern w:val="0"/>
                <w:sz w:val="22"/>
                <w:u w:val="single"/>
              </w:rPr>
              <w:t>特别事项说明</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BFBFB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BFBFB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"操作说明!A1104" </w:instrText>
            </w:r>
            <w:r>
              <w:fldChar w:fldCharType="separate"/>
            </w:r>
            <w:r>
              <w:rPr>
                <w:rFonts w:hint="eastAsia" w:ascii="仿宋" w:hAnsi="仿宋" w:eastAsia="仿宋" w:cs="宋体"/>
                <w:kern w:val="0"/>
                <w:sz w:val="22"/>
                <w:u w:val="single"/>
              </w:rPr>
              <w:t>权属等主要资料不完整或者存在瑕疵的情形</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"操作说明!A1113" </w:instrText>
            </w:r>
            <w:r>
              <w:fldChar w:fldCharType="separate"/>
            </w:r>
            <w:r>
              <w:rPr>
                <w:rFonts w:hint="eastAsia" w:ascii="仿宋" w:hAnsi="仿宋" w:eastAsia="仿宋" w:cs="宋体"/>
                <w:kern w:val="0"/>
                <w:sz w:val="22"/>
                <w:u w:val="single"/>
              </w:rPr>
              <w:t>委托人未提供的其他关键资料情况</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100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bookmarkStart w:id="36" w:name="_GoBack"/>
            <w:bookmarkEnd w:id="36"/>
            <w:r>
              <w:rPr>
                <w:rFonts w:hint="eastAsia" w:ascii="仿宋" w:hAnsi="仿宋" w:eastAsia="仿宋" w:cs="宋体"/>
                <w:kern w:val="0"/>
                <w:sz w:val="22"/>
              </w:rPr>
              <w:t>（3）</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rPr>
                <w:rFonts w:hint="eastAsia"/>
              </w:rPr>
              <w:t>未</w:t>
            </w: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"操作说明!A1121" </w:instrText>
            </w:r>
            <w:r>
              <w:fldChar w:fldCharType="separate"/>
            </w:r>
            <w:r>
              <w:rPr>
                <w:rFonts w:hint="eastAsia" w:ascii="仿宋" w:hAnsi="仿宋" w:eastAsia="仿宋" w:cs="宋体"/>
                <w:kern w:val="0"/>
                <w:sz w:val="22"/>
                <w:u w:val="single"/>
              </w:rPr>
              <w:t>决事项、法律纠纷、重要的利用专家工作及相关报告情况重大期后事项、评估程序受限的有关情况、评估机构采取的弥补措施及对评估结论影响的情况等不确定因素</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⑷</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"操作说明!A1129" </w:instrText>
            </w:r>
            <w:r>
              <w:fldChar w:fldCharType="separate"/>
            </w:r>
            <w:r>
              <w:rPr>
                <w:rFonts w:hint="eastAsia" w:ascii="仿宋" w:hAnsi="仿宋" w:eastAsia="仿宋" w:cs="宋体"/>
                <w:kern w:val="0"/>
                <w:sz w:val="22"/>
                <w:u w:val="single"/>
              </w:rPr>
              <w:t>本次与前次评估方法是否一致，不一致应说明原因</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69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⑸</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"操作说明!A1139" </w:instrText>
            </w:r>
            <w:r>
              <w:fldChar w:fldCharType="separate"/>
            </w:r>
            <w:r>
              <w:rPr>
                <w:rFonts w:hint="eastAsia" w:ascii="仿宋" w:hAnsi="仿宋" w:eastAsia="仿宋" w:cs="宋体"/>
                <w:kern w:val="0"/>
                <w:sz w:val="22"/>
                <w:u w:val="single"/>
              </w:rPr>
              <w:t>本次与前次评估，资产组或资产组组合是否发生变化，若发生变化应说明原因</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690" w:hRule="atLeast"/>
        </w:trPr>
        <w:tc>
          <w:tcPr>
            <w:tcW w:w="433" w:type="pct"/>
            <w:tcBorders>
              <w:top w:val="nil"/>
              <w:left w:val="nil"/>
              <w:bottom w:val="nil"/>
              <w:right w:val="nil"/>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3463" w:type="pc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"操作说明!A1148" </w:instrText>
            </w:r>
            <w:r>
              <w:fldChar w:fldCharType="separate"/>
            </w:r>
            <w:r>
              <w:rPr>
                <w:rFonts w:hint="eastAsia" w:ascii="仿宋" w:hAnsi="仿宋" w:eastAsia="仿宋" w:cs="宋体"/>
                <w:kern w:val="0"/>
                <w:sz w:val="22"/>
                <w:u w:val="single"/>
              </w:rPr>
              <w:t>仅采用成本法评估时，应当披露其评估结论仅在相关资产的价值可以通过资产未来运营得以全额收回的前提下成立。</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"操作说明!A1156" </w:instrText>
            </w:r>
            <w:r>
              <w:fldChar w:fldCharType="separate"/>
            </w:r>
            <w:r>
              <w:rPr>
                <w:rFonts w:hint="eastAsia" w:ascii="仿宋" w:hAnsi="仿宋" w:eastAsia="仿宋" w:cs="宋体"/>
                <w:kern w:val="0"/>
                <w:sz w:val="22"/>
                <w:u w:val="single"/>
              </w:rPr>
              <w:t>资产评估报告使用限制说明</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"操作说明!A1178" </w:instrText>
            </w:r>
            <w:r>
              <w:fldChar w:fldCharType="separate"/>
            </w:r>
            <w:r>
              <w:rPr>
                <w:rFonts w:hint="eastAsia" w:ascii="仿宋" w:hAnsi="仿宋" w:eastAsia="仿宋" w:cs="宋体"/>
                <w:kern w:val="0"/>
                <w:sz w:val="22"/>
                <w:u w:val="single"/>
              </w:rPr>
              <w:t>资产评估报告日</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16</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"操作说明!A1186" </w:instrText>
            </w:r>
            <w:r>
              <w:fldChar w:fldCharType="separate"/>
            </w:r>
            <w:r>
              <w:rPr>
                <w:rFonts w:hint="eastAsia" w:ascii="仿宋" w:hAnsi="仿宋" w:eastAsia="仿宋" w:cs="宋体"/>
                <w:kern w:val="0"/>
                <w:sz w:val="22"/>
                <w:u w:val="single"/>
              </w:rPr>
              <w:t>签字盖章</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17</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"操作说明!A1195" </w:instrText>
            </w:r>
            <w:r>
              <w:fldChar w:fldCharType="separate"/>
            </w:r>
            <w:r>
              <w:rPr>
                <w:rFonts w:hint="eastAsia" w:ascii="仿宋" w:hAnsi="仿宋" w:eastAsia="仿宋" w:cs="宋体"/>
                <w:kern w:val="0"/>
                <w:sz w:val="22"/>
                <w:u w:val="single"/>
              </w:rPr>
              <w:t>资产评估报告附件</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47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2"/>
              </w:rPr>
            </w:pPr>
            <w:r>
              <w:rPr>
                <w:rFonts w:hint="eastAsia" w:ascii="仿宋" w:hAnsi="仿宋" w:eastAsia="仿宋" w:cs="宋体"/>
                <w:kern w:val="0"/>
                <w:sz w:val="22"/>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（二）★</w:t>
            </w:r>
          </w:p>
        </w:tc>
        <w:tc>
          <w:tcPr>
            <w:tcW w:w="3463"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u w:val="single"/>
              </w:rPr>
            </w:pPr>
            <w:r>
              <w:fldChar w:fldCharType="begin"/>
            </w:r>
            <w:r>
              <w:instrText xml:space="preserve"> HYPERLINK "file:///D:\\工作区\\中评协工作区\\工作项目\\联合监管工作\\第五稿%20联合检查手册-0422-留痕\\六、检查现场工作\\4、评估报告检查底稿及说明\\4-5附表-以财务报告为目的评估业务检查底稿.xlsx" \l "操作说明!A1208" </w:instrText>
            </w:r>
            <w:r>
              <w:fldChar w:fldCharType="separate"/>
            </w:r>
            <w:r>
              <w:rPr>
                <w:rFonts w:hint="eastAsia" w:ascii="仿宋" w:hAnsi="仿宋" w:eastAsia="仿宋" w:cs="宋体"/>
                <w:kern w:val="0"/>
                <w:sz w:val="22"/>
                <w:u w:val="single"/>
              </w:rPr>
              <w:t>资产评估明细表</w:t>
            </w:r>
            <w:r>
              <w:rPr>
                <w:rFonts w:hint="eastAsia" w:ascii="仿宋" w:hAnsi="仿宋" w:eastAsia="仿宋" w:cs="宋体"/>
                <w:kern w:val="0"/>
                <w:sz w:val="22"/>
                <w:u w:val="single"/>
              </w:rPr>
              <w:fldChar w:fldCharType="end"/>
            </w:r>
          </w:p>
        </w:tc>
        <w:tc>
          <w:tcPr>
            <w:tcW w:w="625"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78"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b/>
                <w:bCs/>
                <w:kern w:val="0"/>
                <w:sz w:val="22"/>
              </w:rPr>
            </w:pPr>
            <w:r>
              <w:rPr>
                <w:rFonts w:hint="eastAsia" w:ascii="仿宋" w:hAnsi="仿宋" w:eastAsia="仿宋" w:cs="宋体"/>
                <w:b/>
                <w:bCs/>
                <w:kern w:val="0"/>
                <w:sz w:val="22"/>
              </w:rPr>
              <w:t>资产评估报告内容规范性和完整性存在重点关注问题得分项数合计：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0分项数小计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1分项数小计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2分项数小计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3分项数小计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3分（含3分）以下项平均得分</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2分（含2分）以下项平均得分</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1820"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4567" w:type="pct"/>
            <w:gridSpan w:val="3"/>
            <w:tcBorders>
              <w:top w:val="single" w:color="auto" w:sz="4" w:space="0"/>
              <w:left w:val="nil"/>
              <w:bottom w:val="single" w:color="auto" w:sz="4" w:space="0"/>
              <w:right w:val="single" w:color="000000" w:sz="4" w:space="0"/>
            </w:tcBorders>
            <w:shd w:val="clear" w:color="auto" w:fill="auto"/>
          </w:tcPr>
          <w:p>
            <w:pPr>
              <w:widowControl/>
              <w:jc w:val="left"/>
              <w:rPr>
                <w:rFonts w:ascii="仿宋" w:hAnsi="仿宋" w:eastAsia="仿宋" w:cs="宋体"/>
                <w:kern w:val="0"/>
                <w:sz w:val="22"/>
              </w:rPr>
            </w:pPr>
            <w:r>
              <w:rPr>
                <w:rFonts w:hint="eastAsia" w:ascii="仿宋" w:hAnsi="仿宋" w:eastAsia="仿宋" w:cs="宋体"/>
                <w:kern w:val="0"/>
                <w:sz w:val="22"/>
              </w:rPr>
              <w:t>资产评估报告内容与格式规范性及完备性检查意见（指出存在的主要问题）：</w:t>
            </w:r>
          </w:p>
        </w:tc>
      </w:tr>
      <w:tr>
        <w:tblPrEx>
          <w:tblCellMar>
            <w:top w:w="0" w:type="dxa"/>
            <w:left w:w="108" w:type="dxa"/>
            <w:bottom w:w="0" w:type="dxa"/>
            <w:right w:w="108" w:type="dxa"/>
          </w:tblCellMar>
        </w:tblPrEx>
        <w:trPr>
          <w:trHeight w:val="41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三、评估业务整体评分结果</w:t>
            </w: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评估业务整体存在重点关注问题得分项数合计：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0分项数小计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1分项数小计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2分项数小计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3分项数小计</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 xml:space="preserve">评估业务整体存在3分（含3分）以下项平均得分  </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10" w:hRule="atLeast"/>
        </w:trPr>
        <w:tc>
          <w:tcPr>
            <w:tcW w:w="4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346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 xml:space="preserve">评估业务整体存在2分（含2分）以下项平均得分  </w:t>
            </w:r>
          </w:p>
        </w:tc>
        <w:tc>
          <w:tcPr>
            <w:tcW w:w="1103" w:type="pct"/>
            <w:gridSpan w:val="2"/>
            <w:tcBorders>
              <w:top w:val="single" w:color="auto" w:sz="4" w:space="0"/>
              <w:left w:val="nil"/>
              <w:bottom w:val="single" w:color="auto" w:sz="4" w:space="0"/>
              <w:right w:val="single" w:color="000000" w:sz="4" w:space="0"/>
            </w:tcBorders>
            <w:shd w:val="clear" w:color="000000" w:fill="A6A6A6"/>
            <w:noWrap/>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350" w:hRule="atLeast"/>
        </w:trPr>
        <w:tc>
          <w:tcPr>
            <w:tcW w:w="5000" w:type="pct"/>
            <w:gridSpan w:val="4"/>
            <w:tcBorders>
              <w:top w:val="nil"/>
              <w:left w:val="nil"/>
              <w:bottom w:val="nil"/>
              <w:right w:val="nil"/>
            </w:tcBorders>
            <w:shd w:val="clear" w:color="auto" w:fill="auto"/>
            <w:noWrap/>
            <w:vAlign w:val="center"/>
          </w:tcPr>
          <w:p>
            <w:pPr>
              <w:widowControl/>
              <w:jc w:val="left"/>
              <w:rPr>
                <w:rFonts w:ascii="仿宋" w:hAnsi="仿宋" w:eastAsia="仿宋" w:cs="Times New Roman"/>
                <w:kern w:val="0"/>
                <w:sz w:val="24"/>
                <w:szCs w:val="24"/>
              </w:rPr>
            </w:pPr>
            <w:r>
              <w:rPr>
                <w:rFonts w:hint="eastAsia" w:ascii="仿宋" w:hAnsi="仿宋" w:eastAsia="仿宋" w:cs="Times New Roman"/>
                <w:kern w:val="0"/>
                <w:sz w:val="24"/>
                <w:szCs w:val="24"/>
                <w:lang w:eastAsia="zh-CN"/>
              </w:rPr>
              <w:t>自查</w:t>
            </w:r>
            <w:r>
              <w:rPr>
                <w:rFonts w:hint="eastAsia" w:ascii="仿宋" w:hAnsi="仿宋" w:eastAsia="仿宋" w:cs="Times New Roman"/>
                <w:kern w:val="0"/>
                <w:sz w:val="24"/>
                <w:szCs w:val="24"/>
              </w:rPr>
              <w:t>人员：</w:t>
            </w:r>
            <w:r>
              <w:rPr>
                <w:rFonts w:ascii="仿宋" w:hAnsi="仿宋" w:eastAsia="仿宋" w:cs="Times New Roman"/>
                <w:kern w:val="0"/>
                <w:sz w:val="24"/>
                <w:szCs w:val="24"/>
              </w:rPr>
              <w:t xml:space="preserve">        </w:t>
            </w:r>
            <w:r>
              <w:rPr>
                <w:rFonts w:hint="eastAsia" w:ascii="仿宋" w:hAnsi="仿宋" w:eastAsia="仿宋" w:cs="Times New Roman"/>
                <w:kern w:val="0"/>
                <w:sz w:val="24"/>
                <w:szCs w:val="24"/>
                <w:lang w:eastAsia="zh-CN"/>
              </w:rPr>
              <w:t>自查</w:t>
            </w:r>
            <w:r>
              <w:rPr>
                <w:rFonts w:hint="eastAsia" w:ascii="仿宋" w:hAnsi="仿宋" w:eastAsia="仿宋" w:cs="Times New Roman"/>
                <w:kern w:val="0"/>
                <w:sz w:val="24"/>
                <w:szCs w:val="24"/>
              </w:rPr>
              <w:t>时间：</w:t>
            </w:r>
            <w:r>
              <w:rPr>
                <w:rFonts w:ascii="仿宋" w:hAnsi="仿宋" w:eastAsia="仿宋" w:cs="Times New Roman"/>
                <w:kern w:val="0"/>
                <w:sz w:val="24"/>
                <w:szCs w:val="24"/>
              </w:rPr>
              <w:t xml:space="preserve">       </w:t>
            </w:r>
            <w:r>
              <w:rPr>
                <w:rFonts w:hint="eastAsia" w:ascii="仿宋" w:hAnsi="仿宋" w:eastAsia="仿宋" w:cs="Times New Roman"/>
                <w:kern w:val="0"/>
                <w:sz w:val="24"/>
                <w:szCs w:val="24"/>
              </w:rPr>
              <w:t>复核人员：</w:t>
            </w:r>
            <w:r>
              <w:rPr>
                <w:rFonts w:ascii="仿宋" w:hAnsi="仿宋" w:eastAsia="仿宋" w:cs="Times New Roman"/>
                <w:kern w:val="0"/>
                <w:sz w:val="24"/>
                <w:szCs w:val="24"/>
              </w:rPr>
              <w:t xml:space="preserve">       </w:t>
            </w:r>
            <w:r>
              <w:rPr>
                <w:rFonts w:hint="eastAsia" w:ascii="仿宋" w:hAnsi="仿宋" w:eastAsia="仿宋" w:cs="Times New Roman"/>
                <w:kern w:val="0"/>
                <w:sz w:val="24"/>
                <w:szCs w:val="24"/>
              </w:rPr>
              <w:t>复核时间：</w:t>
            </w:r>
          </w:p>
        </w:tc>
      </w:tr>
    </w:tbl>
    <w:p>
      <w:pPr>
        <w:rPr>
          <w:rFonts w:ascii="Times New Roman" w:hAnsi="Times New Roman" w:eastAsia="仿宋" w:cs="Times New Roman"/>
        </w:rPr>
      </w:pPr>
    </w:p>
    <w:p>
      <w:pPr>
        <w:rPr>
          <w:rFonts w:ascii="Times New Roman" w:hAnsi="Times New Roman" w:eastAsia="仿宋" w:cs="Times New Roman"/>
        </w:rPr>
      </w:pPr>
    </w:p>
    <w:p>
      <w:pPr>
        <w:widowControl/>
        <w:jc w:val="left"/>
        <w:rPr>
          <w:rFonts w:ascii="Times New Roman" w:hAnsi="Times New Roman" w:eastAsia="仿宋" w:cs="Times New Roman"/>
        </w:rPr>
      </w:pPr>
      <w:r>
        <w:rPr>
          <w:rFonts w:ascii="Times New Roman" w:hAnsi="Times New Roman" w:eastAsia="仿宋" w:cs="Times New Roman"/>
        </w:rPr>
        <w:br w:type="page"/>
      </w:r>
    </w:p>
    <w:p>
      <w:pPr>
        <w:rPr>
          <w:rFonts w:ascii="Times New Roman" w:hAnsi="Times New Roman" w:eastAsia="仿宋" w:cs="Times New Roman"/>
        </w:rPr>
      </w:pPr>
    </w:p>
    <w:p>
      <w:pPr>
        <w:jc w:val="center"/>
        <w:outlineLvl w:val="2"/>
        <w:rPr>
          <w:rStyle w:val="31"/>
          <w:rFonts w:ascii="Times New Roman" w:hAnsi="Times New Roman" w:eastAsia="仿宋"/>
          <w:sz w:val="44"/>
          <w:szCs w:val="44"/>
        </w:rPr>
      </w:pPr>
      <w:bookmarkStart w:id="34" w:name="_Toc106980818"/>
      <w:bookmarkStart w:id="35" w:name="_Toc70262751"/>
      <w:r>
        <w:rPr>
          <w:rStyle w:val="31"/>
          <w:rFonts w:ascii="Times New Roman" w:hAnsi="Times New Roman" w:eastAsia="仿宋"/>
          <w:sz w:val="44"/>
          <w:szCs w:val="44"/>
        </w:rPr>
        <w:t>以财务报告为目的评估业务</w:t>
      </w:r>
      <w:r>
        <w:rPr>
          <w:rStyle w:val="31"/>
          <w:rFonts w:hint="eastAsia" w:ascii="Times New Roman" w:hAnsi="Times New Roman" w:eastAsia="仿宋"/>
          <w:sz w:val="44"/>
          <w:szCs w:val="44"/>
          <w:lang w:eastAsia="zh-CN"/>
        </w:rPr>
        <w:t>自查</w:t>
      </w:r>
      <w:r>
        <w:rPr>
          <w:rStyle w:val="31"/>
          <w:rFonts w:ascii="Times New Roman" w:hAnsi="Times New Roman" w:eastAsia="仿宋"/>
          <w:sz w:val="44"/>
          <w:szCs w:val="44"/>
        </w:rPr>
        <w:t>说明</w:t>
      </w:r>
      <w:bookmarkEnd w:id="34"/>
      <w:bookmarkEnd w:id="35"/>
    </w:p>
    <w:p>
      <w:pPr>
        <w:jc w:val="center"/>
        <w:rPr>
          <w:rFonts w:ascii="Times New Roman" w:hAnsi="Times New Roman" w:eastAsia="仿宋" w:cs="Times New Roman"/>
          <w:b/>
          <w:kern w:val="0"/>
          <w:sz w:val="44"/>
          <w:szCs w:val="44"/>
        </w:rPr>
      </w:pPr>
    </w:p>
    <w:p>
      <w:pPr>
        <w:spacing w:line="360" w:lineRule="auto"/>
        <w:ind w:firstLine="482" w:firstLineChars="200"/>
        <w:jc w:val="left"/>
        <w:rPr>
          <w:rFonts w:ascii="Times New Roman" w:hAnsi="Times New Roman" w:eastAsia="仿宋" w:cs="Times New Roman"/>
          <w:b/>
          <w:sz w:val="24"/>
        </w:rPr>
      </w:pPr>
      <w:r>
        <w:rPr>
          <w:rFonts w:ascii="Times New Roman" w:hAnsi="Times New Roman" w:eastAsia="仿宋" w:cs="Times New Roman"/>
          <w:b/>
          <w:sz w:val="24"/>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78105</wp:posOffset>
                </wp:positionV>
                <wp:extent cx="5426075" cy="1727200"/>
                <wp:effectExtent l="0" t="0" r="22860" b="25400"/>
                <wp:wrapNone/>
                <wp:docPr id="6" name="矩形 6"/>
                <wp:cNvGraphicFramePr/>
                <a:graphic xmlns:a="http://schemas.openxmlformats.org/drawingml/2006/main">
                  <a:graphicData uri="http://schemas.microsoft.com/office/word/2010/wordprocessingShape">
                    <wps:wsp>
                      <wps:cNvSpPr/>
                      <wps:spPr>
                        <a:xfrm>
                          <a:off x="0" y="0"/>
                          <a:ext cx="5426015" cy="172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w:t>
                            </w:r>
                            <w:r>
                              <w:rPr>
                                <w:rFonts w:hint="eastAsia" w:ascii="黑体" w:hAnsi="黑体" w:eastAsia="黑体"/>
                                <w:bCs/>
                                <w:sz w:val="28"/>
                                <w:szCs w:val="28"/>
                                <w:lang w:eastAsia="zh-CN"/>
                              </w:rPr>
                              <w:t>自查</w:t>
                            </w:r>
                            <w:r>
                              <w:rPr>
                                <w:rFonts w:hint="eastAsia" w:ascii="黑体" w:hAnsi="黑体" w:eastAsia="黑体"/>
                                <w:bCs/>
                                <w:sz w:val="28"/>
                                <w:szCs w:val="28"/>
                              </w:rPr>
                              <w:t>底稿表中只对检查得分为0、1.2.3分的情况进行填报记录，即在对应</w:t>
                            </w:r>
                            <w:r>
                              <w:rPr>
                                <w:rFonts w:hint="eastAsia" w:ascii="黑体" w:hAnsi="黑体" w:eastAsia="黑体"/>
                                <w:bCs/>
                                <w:sz w:val="28"/>
                                <w:szCs w:val="28"/>
                                <w:lang w:eastAsia="zh-CN"/>
                              </w:rPr>
                              <w:t>自查</w:t>
                            </w:r>
                            <w:r>
                              <w:rPr>
                                <w:rFonts w:hint="eastAsia" w:ascii="黑体" w:hAnsi="黑体" w:eastAsia="黑体"/>
                                <w:bCs/>
                                <w:sz w:val="28"/>
                                <w:szCs w:val="28"/>
                              </w:rPr>
                              <w:t>项目中填写相应得分。</w:t>
                            </w:r>
                          </w:p>
                        </w:txbxContent>
                      </wps:txbx>
                      <wps:bodyPr wrap="square" upright="1">
                        <a:noAutofit/>
                      </wps:bodyPr>
                    </wps:wsp>
                  </a:graphicData>
                </a:graphic>
              </wp:anchor>
            </w:drawing>
          </mc:Choice>
          <mc:Fallback>
            <w:pict>
              <v:rect id="_x0000_s1026" o:spid="_x0000_s1026" o:spt="1" style="position:absolute;left:0pt;margin-left:-0.55pt;margin-top:6.15pt;height:136pt;width:427.25pt;z-index:251663360;mso-width-relative:page;mso-height-relative:page;" fillcolor="#FFFFFF" filled="t" stroked="t" coordsize="21600,21600" o:gfxdata="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RlOf2AAAAAkBAAAPAAAA&#10;AAAAAAEAIAAAACIAAABkcnMvZG93bnJldi54bWxQSwECFAAUAAAACACHTuJAgsnxUhUCAABSBAAA&#10;DgAAAAAAAAABACAAAAAnAQAAZHJzL2Uyb0RvYy54bWxQSwUGAAAAAAYABgBZAQAArgUAAAAA&#10;">
                <v:fill on="t" focussize="0,0"/>
                <v:stroke color="#000000" joinstyle="miter"/>
                <v:imagedata o:title=""/>
                <o:lock v:ext="edit" aspectratio="f"/>
                <v:textbo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lang w:eastAsia="zh-CN"/>
                        </w:rPr>
                        <w:t>自查</w:t>
                      </w:r>
                      <w:r>
                        <w:rPr>
                          <w:rFonts w:hint="eastAsia" w:ascii="黑体" w:hAnsi="黑体" w:eastAsia="黑体"/>
                          <w:bCs/>
                          <w:sz w:val="28"/>
                          <w:szCs w:val="28"/>
                        </w:rPr>
                        <w:t>过程中重点关注各检查项目得分在0、1.2.3分的情况，</w:t>
                      </w:r>
                      <w:r>
                        <w:rPr>
                          <w:rFonts w:hint="eastAsia" w:ascii="黑体" w:hAnsi="黑体" w:eastAsia="黑体"/>
                          <w:bCs/>
                          <w:sz w:val="28"/>
                          <w:szCs w:val="28"/>
                          <w:lang w:eastAsia="zh-CN"/>
                        </w:rPr>
                        <w:t>自查</w:t>
                      </w:r>
                      <w:r>
                        <w:rPr>
                          <w:rFonts w:hint="eastAsia" w:ascii="黑体" w:hAnsi="黑体" w:eastAsia="黑体"/>
                          <w:bCs/>
                          <w:sz w:val="28"/>
                          <w:szCs w:val="28"/>
                        </w:rPr>
                        <w:t>底稿表中只对检查得分为0、1.2.3分的情况进行填报记录，即在对应</w:t>
                      </w:r>
                      <w:r>
                        <w:rPr>
                          <w:rFonts w:hint="eastAsia" w:ascii="黑体" w:hAnsi="黑体" w:eastAsia="黑体"/>
                          <w:bCs/>
                          <w:sz w:val="28"/>
                          <w:szCs w:val="28"/>
                          <w:lang w:eastAsia="zh-CN"/>
                        </w:rPr>
                        <w:t>自查</w:t>
                      </w:r>
                      <w:r>
                        <w:rPr>
                          <w:rFonts w:hint="eastAsia" w:ascii="黑体" w:hAnsi="黑体" w:eastAsia="黑体"/>
                          <w:bCs/>
                          <w:sz w:val="28"/>
                          <w:szCs w:val="28"/>
                        </w:rPr>
                        <w:t>项目中填写相应得分。</w:t>
                      </w:r>
                    </w:p>
                  </w:txbxContent>
                </v:textbox>
              </v:rect>
            </w:pict>
          </mc:Fallback>
        </mc:AlternateContent>
      </w: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rPr>
          <w:rFonts w:ascii="Times New Roman" w:hAnsi="Times New Roman" w:eastAsia="仿宋" w:cs="Times New Roman"/>
        </w:rPr>
      </w:pPr>
    </w:p>
    <w:sectPr>
      <w:headerReference r:id="rId4" w:type="default"/>
      <w:pgSz w:w="11906" w:h="16838"/>
      <w:pgMar w:top="1440" w:right="1841"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336</w:t>
    </w:r>
    <w:r>
      <w:rPr>
        <w:rFonts w:ascii="Times New Roman" w:hAnsi="Times New Roman"/>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YmFkNjNmMjhjZjg2MWI5MGNhZjA0YzBiMTI2ZjQifQ=="/>
  </w:docVars>
  <w:rsids>
    <w:rsidRoot w:val="009C1491"/>
    <w:rsid w:val="00000BFA"/>
    <w:rsid w:val="0001023A"/>
    <w:rsid w:val="0001051E"/>
    <w:rsid w:val="00012A07"/>
    <w:rsid w:val="000130E8"/>
    <w:rsid w:val="00013D15"/>
    <w:rsid w:val="00016C8C"/>
    <w:rsid w:val="00021437"/>
    <w:rsid w:val="00022009"/>
    <w:rsid w:val="00023CA2"/>
    <w:rsid w:val="00031826"/>
    <w:rsid w:val="00033A14"/>
    <w:rsid w:val="00035987"/>
    <w:rsid w:val="000369B8"/>
    <w:rsid w:val="0004046A"/>
    <w:rsid w:val="00041BAE"/>
    <w:rsid w:val="00041D96"/>
    <w:rsid w:val="00045957"/>
    <w:rsid w:val="00061E94"/>
    <w:rsid w:val="000622A6"/>
    <w:rsid w:val="000675A0"/>
    <w:rsid w:val="000679C3"/>
    <w:rsid w:val="0007031A"/>
    <w:rsid w:val="000706E6"/>
    <w:rsid w:val="00072722"/>
    <w:rsid w:val="00075845"/>
    <w:rsid w:val="00076E1F"/>
    <w:rsid w:val="00087944"/>
    <w:rsid w:val="00091CCA"/>
    <w:rsid w:val="0009256D"/>
    <w:rsid w:val="000B0D6C"/>
    <w:rsid w:val="000B553D"/>
    <w:rsid w:val="000B5A64"/>
    <w:rsid w:val="000B5E47"/>
    <w:rsid w:val="000C3040"/>
    <w:rsid w:val="000C4CFD"/>
    <w:rsid w:val="000C639E"/>
    <w:rsid w:val="000D2FF2"/>
    <w:rsid w:val="000D464A"/>
    <w:rsid w:val="000E673B"/>
    <w:rsid w:val="00102C09"/>
    <w:rsid w:val="00103997"/>
    <w:rsid w:val="00105E2D"/>
    <w:rsid w:val="0011355E"/>
    <w:rsid w:val="001165B7"/>
    <w:rsid w:val="00116CC7"/>
    <w:rsid w:val="00117D11"/>
    <w:rsid w:val="00122E6A"/>
    <w:rsid w:val="00137513"/>
    <w:rsid w:val="00143873"/>
    <w:rsid w:val="001443B3"/>
    <w:rsid w:val="001446A9"/>
    <w:rsid w:val="00144CFF"/>
    <w:rsid w:val="001450DF"/>
    <w:rsid w:val="00163989"/>
    <w:rsid w:val="0016458A"/>
    <w:rsid w:val="00165CF7"/>
    <w:rsid w:val="00167C05"/>
    <w:rsid w:val="001702FF"/>
    <w:rsid w:val="00171090"/>
    <w:rsid w:val="00172819"/>
    <w:rsid w:val="00174923"/>
    <w:rsid w:val="001813D6"/>
    <w:rsid w:val="00183F84"/>
    <w:rsid w:val="0018509D"/>
    <w:rsid w:val="00187A99"/>
    <w:rsid w:val="00187DCC"/>
    <w:rsid w:val="00191BC3"/>
    <w:rsid w:val="0019589C"/>
    <w:rsid w:val="001A16F0"/>
    <w:rsid w:val="001B1C0A"/>
    <w:rsid w:val="001B5C64"/>
    <w:rsid w:val="001B6C61"/>
    <w:rsid w:val="001D629B"/>
    <w:rsid w:val="001E1766"/>
    <w:rsid w:val="001E6B79"/>
    <w:rsid w:val="001E6C93"/>
    <w:rsid w:val="001F79FA"/>
    <w:rsid w:val="00201F4F"/>
    <w:rsid w:val="00204750"/>
    <w:rsid w:val="002108E6"/>
    <w:rsid w:val="00213853"/>
    <w:rsid w:val="00213F69"/>
    <w:rsid w:val="00214919"/>
    <w:rsid w:val="00230408"/>
    <w:rsid w:val="00231877"/>
    <w:rsid w:val="0023301D"/>
    <w:rsid w:val="00234F44"/>
    <w:rsid w:val="00236865"/>
    <w:rsid w:val="00244F9F"/>
    <w:rsid w:val="00247A45"/>
    <w:rsid w:val="00256B22"/>
    <w:rsid w:val="002574B9"/>
    <w:rsid w:val="00263E16"/>
    <w:rsid w:val="002650CF"/>
    <w:rsid w:val="002724B0"/>
    <w:rsid w:val="002775A9"/>
    <w:rsid w:val="00280DE5"/>
    <w:rsid w:val="002927C1"/>
    <w:rsid w:val="002967E4"/>
    <w:rsid w:val="00296EB9"/>
    <w:rsid w:val="002A1411"/>
    <w:rsid w:val="002A23F2"/>
    <w:rsid w:val="002A39B3"/>
    <w:rsid w:val="002A48A8"/>
    <w:rsid w:val="002A64F1"/>
    <w:rsid w:val="002A77E4"/>
    <w:rsid w:val="002B2731"/>
    <w:rsid w:val="002B530F"/>
    <w:rsid w:val="002B5EBD"/>
    <w:rsid w:val="002B7041"/>
    <w:rsid w:val="002C31C8"/>
    <w:rsid w:val="002C47F3"/>
    <w:rsid w:val="002D23F4"/>
    <w:rsid w:val="002D3375"/>
    <w:rsid w:val="002D663E"/>
    <w:rsid w:val="002E1D2B"/>
    <w:rsid w:val="002E3989"/>
    <w:rsid w:val="002E49CA"/>
    <w:rsid w:val="002E5E6B"/>
    <w:rsid w:val="002E667B"/>
    <w:rsid w:val="002E75E2"/>
    <w:rsid w:val="002F7E0A"/>
    <w:rsid w:val="002F7F61"/>
    <w:rsid w:val="0030153C"/>
    <w:rsid w:val="0030349E"/>
    <w:rsid w:val="003107C9"/>
    <w:rsid w:val="00311C15"/>
    <w:rsid w:val="003121D1"/>
    <w:rsid w:val="0031284D"/>
    <w:rsid w:val="00321832"/>
    <w:rsid w:val="003218FF"/>
    <w:rsid w:val="00323B15"/>
    <w:rsid w:val="0032447F"/>
    <w:rsid w:val="00324E01"/>
    <w:rsid w:val="00341130"/>
    <w:rsid w:val="0034150A"/>
    <w:rsid w:val="00351961"/>
    <w:rsid w:val="003536F1"/>
    <w:rsid w:val="00353D51"/>
    <w:rsid w:val="00361F82"/>
    <w:rsid w:val="00362591"/>
    <w:rsid w:val="00363283"/>
    <w:rsid w:val="003703EC"/>
    <w:rsid w:val="003704FD"/>
    <w:rsid w:val="00371727"/>
    <w:rsid w:val="00374D32"/>
    <w:rsid w:val="00384341"/>
    <w:rsid w:val="00385A00"/>
    <w:rsid w:val="003868DA"/>
    <w:rsid w:val="00392B6B"/>
    <w:rsid w:val="00393281"/>
    <w:rsid w:val="00394428"/>
    <w:rsid w:val="00395258"/>
    <w:rsid w:val="003A038E"/>
    <w:rsid w:val="003A416F"/>
    <w:rsid w:val="003B058E"/>
    <w:rsid w:val="003B1F68"/>
    <w:rsid w:val="003B7B8E"/>
    <w:rsid w:val="003C14D7"/>
    <w:rsid w:val="003C1C5C"/>
    <w:rsid w:val="003C2B5B"/>
    <w:rsid w:val="003C6ED0"/>
    <w:rsid w:val="003D0A37"/>
    <w:rsid w:val="003D6E5C"/>
    <w:rsid w:val="003E7891"/>
    <w:rsid w:val="003E799B"/>
    <w:rsid w:val="003F0C48"/>
    <w:rsid w:val="00404927"/>
    <w:rsid w:val="00407D06"/>
    <w:rsid w:val="00413B45"/>
    <w:rsid w:val="00422740"/>
    <w:rsid w:val="004323EF"/>
    <w:rsid w:val="004325D3"/>
    <w:rsid w:val="00433F3E"/>
    <w:rsid w:val="00443522"/>
    <w:rsid w:val="00447CC3"/>
    <w:rsid w:val="00450F36"/>
    <w:rsid w:val="004539ED"/>
    <w:rsid w:val="00466F3D"/>
    <w:rsid w:val="00470764"/>
    <w:rsid w:val="00470A56"/>
    <w:rsid w:val="00472AB2"/>
    <w:rsid w:val="004731AB"/>
    <w:rsid w:val="0048130E"/>
    <w:rsid w:val="00485745"/>
    <w:rsid w:val="00490E5B"/>
    <w:rsid w:val="00491647"/>
    <w:rsid w:val="00495030"/>
    <w:rsid w:val="004A01C5"/>
    <w:rsid w:val="004A020E"/>
    <w:rsid w:val="004A1881"/>
    <w:rsid w:val="004A19C1"/>
    <w:rsid w:val="004A66DA"/>
    <w:rsid w:val="004B04E4"/>
    <w:rsid w:val="004B59F5"/>
    <w:rsid w:val="004B610B"/>
    <w:rsid w:val="004B7B55"/>
    <w:rsid w:val="004C14D6"/>
    <w:rsid w:val="004C4411"/>
    <w:rsid w:val="004C6059"/>
    <w:rsid w:val="004C7370"/>
    <w:rsid w:val="004D0926"/>
    <w:rsid w:val="004D0B42"/>
    <w:rsid w:val="004D0FA5"/>
    <w:rsid w:val="004D7C3A"/>
    <w:rsid w:val="004E3B86"/>
    <w:rsid w:val="004E42E4"/>
    <w:rsid w:val="004E45A5"/>
    <w:rsid w:val="004E4C2D"/>
    <w:rsid w:val="004E5CA6"/>
    <w:rsid w:val="004F7622"/>
    <w:rsid w:val="00502CC3"/>
    <w:rsid w:val="005034CD"/>
    <w:rsid w:val="00511E0C"/>
    <w:rsid w:val="0051313E"/>
    <w:rsid w:val="00515E9B"/>
    <w:rsid w:val="0052394C"/>
    <w:rsid w:val="00531D2C"/>
    <w:rsid w:val="0054120D"/>
    <w:rsid w:val="0054218D"/>
    <w:rsid w:val="005452CD"/>
    <w:rsid w:val="005654FF"/>
    <w:rsid w:val="005773F1"/>
    <w:rsid w:val="0057745F"/>
    <w:rsid w:val="0058203C"/>
    <w:rsid w:val="00590AB8"/>
    <w:rsid w:val="005933F0"/>
    <w:rsid w:val="005A2FA2"/>
    <w:rsid w:val="005A47E6"/>
    <w:rsid w:val="005B0728"/>
    <w:rsid w:val="005B0B49"/>
    <w:rsid w:val="005B69E3"/>
    <w:rsid w:val="005C2628"/>
    <w:rsid w:val="005C3FFE"/>
    <w:rsid w:val="005C6BE3"/>
    <w:rsid w:val="005C76C4"/>
    <w:rsid w:val="005C7D47"/>
    <w:rsid w:val="005D0BE0"/>
    <w:rsid w:val="005E74CB"/>
    <w:rsid w:val="005F4233"/>
    <w:rsid w:val="005F4E81"/>
    <w:rsid w:val="005F5DED"/>
    <w:rsid w:val="00601BF0"/>
    <w:rsid w:val="006164CD"/>
    <w:rsid w:val="006210C0"/>
    <w:rsid w:val="00622559"/>
    <w:rsid w:val="00624AC5"/>
    <w:rsid w:val="0063624F"/>
    <w:rsid w:val="00651CAA"/>
    <w:rsid w:val="00652BE8"/>
    <w:rsid w:val="0065314F"/>
    <w:rsid w:val="00654467"/>
    <w:rsid w:val="006677F8"/>
    <w:rsid w:val="00674FA0"/>
    <w:rsid w:val="0067705D"/>
    <w:rsid w:val="006774BE"/>
    <w:rsid w:val="006831C0"/>
    <w:rsid w:val="0068684D"/>
    <w:rsid w:val="00691F62"/>
    <w:rsid w:val="006A19A0"/>
    <w:rsid w:val="006A53E7"/>
    <w:rsid w:val="006A62F9"/>
    <w:rsid w:val="006B11E5"/>
    <w:rsid w:val="006B58AB"/>
    <w:rsid w:val="006C095D"/>
    <w:rsid w:val="006C27A5"/>
    <w:rsid w:val="006C75D0"/>
    <w:rsid w:val="006D01E4"/>
    <w:rsid w:val="006D293A"/>
    <w:rsid w:val="006D3ECB"/>
    <w:rsid w:val="006D4034"/>
    <w:rsid w:val="006D6438"/>
    <w:rsid w:val="006D7109"/>
    <w:rsid w:val="006E186A"/>
    <w:rsid w:val="006E1CC7"/>
    <w:rsid w:val="006E414A"/>
    <w:rsid w:val="006F09FC"/>
    <w:rsid w:val="006F2F70"/>
    <w:rsid w:val="006F6BAC"/>
    <w:rsid w:val="006F71A1"/>
    <w:rsid w:val="0070689D"/>
    <w:rsid w:val="00714CAC"/>
    <w:rsid w:val="0071505F"/>
    <w:rsid w:val="00715216"/>
    <w:rsid w:val="00715DD7"/>
    <w:rsid w:val="00730803"/>
    <w:rsid w:val="007344E3"/>
    <w:rsid w:val="0073477E"/>
    <w:rsid w:val="007348E3"/>
    <w:rsid w:val="00743D6E"/>
    <w:rsid w:val="00745072"/>
    <w:rsid w:val="00750C53"/>
    <w:rsid w:val="007513EC"/>
    <w:rsid w:val="0075511D"/>
    <w:rsid w:val="00755328"/>
    <w:rsid w:val="00755C89"/>
    <w:rsid w:val="00756F7B"/>
    <w:rsid w:val="007642FD"/>
    <w:rsid w:val="00764720"/>
    <w:rsid w:val="007668B5"/>
    <w:rsid w:val="00766BD3"/>
    <w:rsid w:val="007711BA"/>
    <w:rsid w:val="007768A7"/>
    <w:rsid w:val="00784240"/>
    <w:rsid w:val="00797D9F"/>
    <w:rsid w:val="007A7DD7"/>
    <w:rsid w:val="007B2A34"/>
    <w:rsid w:val="007B4CEE"/>
    <w:rsid w:val="007B58FE"/>
    <w:rsid w:val="007B62C1"/>
    <w:rsid w:val="007B71F7"/>
    <w:rsid w:val="007C0DB7"/>
    <w:rsid w:val="007C27AD"/>
    <w:rsid w:val="007C5035"/>
    <w:rsid w:val="007D0DA7"/>
    <w:rsid w:val="007D3BA4"/>
    <w:rsid w:val="007D4290"/>
    <w:rsid w:val="007D4B86"/>
    <w:rsid w:val="007E17A9"/>
    <w:rsid w:val="007E20CF"/>
    <w:rsid w:val="007E24D7"/>
    <w:rsid w:val="00802E4E"/>
    <w:rsid w:val="00804B4C"/>
    <w:rsid w:val="008055A7"/>
    <w:rsid w:val="00805D2C"/>
    <w:rsid w:val="0080683D"/>
    <w:rsid w:val="00817009"/>
    <w:rsid w:val="00817708"/>
    <w:rsid w:val="00817975"/>
    <w:rsid w:val="00820286"/>
    <w:rsid w:val="008251B0"/>
    <w:rsid w:val="00827BA2"/>
    <w:rsid w:val="00830ADA"/>
    <w:rsid w:val="008319F7"/>
    <w:rsid w:val="00831B3E"/>
    <w:rsid w:val="008338BC"/>
    <w:rsid w:val="00833910"/>
    <w:rsid w:val="0083535C"/>
    <w:rsid w:val="008362D6"/>
    <w:rsid w:val="00837921"/>
    <w:rsid w:val="008404E0"/>
    <w:rsid w:val="00845854"/>
    <w:rsid w:val="00852EEE"/>
    <w:rsid w:val="00853F08"/>
    <w:rsid w:val="00854683"/>
    <w:rsid w:val="0086074D"/>
    <w:rsid w:val="00862035"/>
    <w:rsid w:val="00867184"/>
    <w:rsid w:val="008675B1"/>
    <w:rsid w:val="00874835"/>
    <w:rsid w:val="00885A06"/>
    <w:rsid w:val="0088772D"/>
    <w:rsid w:val="0089300D"/>
    <w:rsid w:val="008953E7"/>
    <w:rsid w:val="008958CF"/>
    <w:rsid w:val="00897C20"/>
    <w:rsid w:val="008A12E8"/>
    <w:rsid w:val="008A1AA3"/>
    <w:rsid w:val="008A2199"/>
    <w:rsid w:val="008A580F"/>
    <w:rsid w:val="008A6745"/>
    <w:rsid w:val="008A7E21"/>
    <w:rsid w:val="008A7E6C"/>
    <w:rsid w:val="008B424C"/>
    <w:rsid w:val="008C3AEE"/>
    <w:rsid w:val="008D0610"/>
    <w:rsid w:val="008D487C"/>
    <w:rsid w:val="008D7D17"/>
    <w:rsid w:val="008D7EED"/>
    <w:rsid w:val="008E0677"/>
    <w:rsid w:val="008E1E42"/>
    <w:rsid w:val="008F3264"/>
    <w:rsid w:val="008F3B16"/>
    <w:rsid w:val="008F3E6D"/>
    <w:rsid w:val="008F70E5"/>
    <w:rsid w:val="00903007"/>
    <w:rsid w:val="00906835"/>
    <w:rsid w:val="009068F9"/>
    <w:rsid w:val="0091074A"/>
    <w:rsid w:val="009135EB"/>
    <w:rsid w:val="00920C41"/>
    <w:rsid w:val="00923050"/>
    <w:rsid w:val="00952DC8"/>
    <w:rsid w:val="00957748"/>
    <w:rsid w:val="0095780F"/>
    <w:rsid w:val="00962C58"/>
    <w:rsid w:val="009702EF"/>
    <w:rsid w:val="00973954"/>
    <w:rsid w:val="009775DF"/>
    <w:rsid w:val="00980913"/>
    <w:rsid w:val="00987394"/>
    <w:rsid w:val="00993812"/>
    <w:rsid w:val="009A45A5"/>
    <w:rsid w:val="009B0A47"/>
    <w:rsid w:val="009B0E8B"/>
    <w:rsid w:val="009B0F1D"/>
    <w:rsid w:val="009B2041"/>
    <w:rsid w:val="009B3C18"/>
    <w:rsid w:val="009B4016"/>
    <w:rsid w:val="009B67A0"/>
    <w:rsid w:val="009C1491"/>
    <w:rsid w:val="009C5EF1"/>
    <w:rsid w:val="009D16DF"/>
    <w:rsid w:val="009D5A9C"/>
    <w:rsid w:val="009E2D62"/>
    <w:rsid w:val="009F28E5"/>
    <w:rsid w:val="009F4028"/>
    <w:rsid w:val="009F5DF9"/>
    <w:rsid w:val="009F6902"/>
    <w:rsid w:val="009F70EF"/>
    <w:rsid w:val="00A035E6"/>
    <w:rsid w:val="00A06486"/>
    <w:rsid w:val="00A1588C"/>
    <w:rsid w:val="00A23EC9"/>
    <w:rsid w:val="00A3090F"/>
    <w:rsid w:val="00A31FB5"/>
    <w:rsid w:val="00A41747"/>
    <w:rsid w:val="00A47710"/>
    <w:rsid w:val="00A51C6D"/>
    <w:rsid w:val="00A5488D"/>
    <w:rsid w:val="00A55470"/>
    <w:rsid w:val="00A568D8"/>
    <w:rsid w:val="00A604D3"/>
    <w:rsid w:val="00A64B41"/>
    <w:rsid w:val="00A65C73"/>
    <w:rsid w:val="00A718BC"/>
    <w:rsid w:val="00A73EC9"/>
    <w:rsid w:val="00A81428"/>
    <w:rsid w:val="00A860D0"/>
    <w:rsid w:val="00A90743"/>
    <w:rsid w:val="00A9242C"/>
    <w:rsid w:val="00AA1250"/>
    <w:rsid w:val="00AB390E"/>
    <w:rsid w:val="00AC0D85"/>
    <w:rsid w:val="00AC1261"/>
    <w:rsid w:val="00AD182E"/>
    <w:rsid w:val="00AD7BEE"/>
    <w:rsid w:val="00AE0CA4"/>
    <w:rsid w:val="00AE2819"/>
    <w:rsid w:val="00AE2F8C"/>
    <w:rsid w:val="00AE50DE"/>
    <w:rsid w:val="00AE551B"/>
    <w:rsid w:val="00AE5A19"/>
    <w:rsid w:val="00AE715F"/>
    <w:rsid w:val="00AF0031"/>
    <w:rsid w:val="00AF2497"/>
    <w:rsid w:val="00AF7B44"/>
    <w:rsid w:val="00B002CF"/>
    <w:rsid w:val="00B03077"/>
    <w:rsid w:val="00B1564C"/>
    <w:rsid w:val="00B201F7"/>
    <w:rsid w:val="00B343FE"/>
    <w:rsid w:val="00B372CA"/>
    <w:rsid w:val="00B41120"/>
    <w:rsid w:val="00B43234"/>
    <w:rsid w:val="00B540EE"/>
    <w:rsid w:val="00B56341"/>
    <w:rsid w:val="00B572B2"/>
    <w:rsid w:val="00B6697C"/>
    <w:rsid w:val="00B73625"/>
    <w:rsid w:val="00B84CC8"/>
    <w:rsid w:val="00B8621C"/>
    <w:rsid w:val="00B86785"/>
    <w:rsid w:val="00B974DB"/>
    <w:rsid w:val="00BA06C0"/>
    <w:rsid w:val="00BA75A6"/>
    <w:rsid w:val="00BB2BB9"/>
    <w:rsid w:val="00BB7EE3"/>
    <w:rsid w:val="00BC4A44"/>
    <w:rsid w:val="00BC6801"/>
    <w:rsid w:val="00BE4101"/>
    <w:rsid w:val="00BF2D43"/>
    <w:rsid w:val="00BF47EE"/>
    <w:rsid w:val="00BF4F71"/>
    <w:rsid w:val="00BF7B85"/>
    <w:rsid w:val="00BF7C0C"/>
    <w:rsid w:val="00C00C08"/>
    <w:rsid w:val="00C00D45"/>
    <w:rsid w:val="00C035B4"/>
    <w:rsid w:val="00C05146"/>
    <w:rsid w:val="00C155D3"/>
    <w:rsid w:val="00C17FF9"/>
    <w:rsid w:val="00C232E3"/>
    <w:rsid w:val="00C237CC"/>
    <w:rsid w:val="00C319DC"/>
    <w:rsid w:val="00C3480A"/>
    <w:rsid w:val="00C403A3"/>
    <w:rsid w:val="00C4099E"/>
    <w:rsid w:val="00C419FD"/>
    <w:rsid w:val="00C426F9"/>
    <w:rsid w:val="00C44573"/>
    <w:rsid w:val="00C45041"/>
    <w:rsid w:val="00C501C2"/>
    <w:rsid w:val="00C505B6"/>
    <w:rsid w:val="00C53C34"/>
    <w:rsid w:val="00C542D7"/>
    <w:rsid w:val="00C567D8"/>
    <w:rsid w:val="00C57AC6"/>
    <w:rsid w:val="00C57DA1"/>
    <w:rsid w:val="00C61B45"/>
    <w:rsid w:val="00C6350E"/>
    <w:rsid w:val="00C70EF5"/>
    <w:rsid w:val="00C738DA"/>
    <w:rsid w:val="00C7594B"/>
    <w:rsid w:val="00C87067"/>
    <w:rsid w:val="00C87D16"/>
    <w:rsid w:val="00C90ECD"/>
    <w:rsid w:val="00CA1452"/>
    <w:rsid w:val="00CA2E4C"/>
    <w:rsid w:val="00CB4073"/>
    <w:rsid w:val="00CB5E24"/>
    <w:rsid w:val="00CB7246"/>
    <w:rsid w:val="00CB768F"/>
    <w:rsid w:val="00CC34FF"/>
    <w:rsid w:val="00CC731C"/>
    <w:rsid w:val="00CC7D5E"/>
    <w:rsid w:val="00CD0739"/>
    <w:rsid w:val="00CD4BEB"/>
    <w:rsid w:val="00CD60C0"/>
    <w:rsid w:val="00CD74FF"/>
    <w:rsid w:val="00CE3BC3"/>
    <w:rsid w:val="00CE515D"/>
    <w:rsid w:val="00CF2E17"/>
    <w:rsid w:val="00CF6759"/>
    <w:rsid w:val="00D0367A"/>
    <w:rsid w:val="00D05553"/>
    <w:rsid w:val="00D07D5C"/>
    <w:rsid w:val="00D112D1"/>
    <w:rsid w:val="00D116C2"/>
    <w:rsid w:val="00D1420E"/>
    <w:rsid w:val="00D3592E"/>
    <w:rsid w:val="00D422E9"/>
    <w:rsid w:val="00D45C34"/>
    <w:rsid w:val="00D47752"/>
    <w:rsid w:val="00D5028C"/>
    <w:rsid w:val="00D5287F"/>
    <w:rsid w:val="00D538B3"/>
    <w:rsid w:val="00D56F3C"/>
    <w:rsid w:val="00D5744B"/>
    <w:rsid w:val="00D57BC0"/>
    <w:rsid w:val="00D619E7"/>
    <w:rsid w:val="00D6548D"/>
    <w:rsid w:val="00D704F1"/>
    <w:rsid w:val="00D75ECF"/>
    <w:rsid w:val="00D76CBF"/>
    <w:rsid w:val="00D81241"/>
    <w:rsid w:val="00D83592"/>
    <w:rsid w:val="00D87AF1"/>
    <w:rsid w:val="00D95E60"/>
    <w:rsid w:val="00D976F7"/>
    <w:rsid w:val="00DB419D"/>
    <w:rsid w:val="00DB65FE"/>
    <w:rsid w:val="00DC6159"/>
    <w:rsid w:val="00DD2954"/>
    <w:rsid w:val="00DD3EDD"/>
    <w:rsid w:val="00DE1043"/>
    <w:rsid w:val="00DE2AC0"/>
    <w:rsid w:val="00DE2BA4"/>
    <w:rsid w:val="00DF2BC9"/>
    <w:rsid w:val="00DF34AF"/>
    <w:rsid w:val="00E0219C"/>
    <w:rsid w:val="00E06191"/>
    <w:rsid w:val="00E0682A"/>
    <w:rsid w:val="00E079C6"/>
    <w:rsid w:val="00E1051E"/>
    <w:rsid w:val="00E16205"/>
    <w:rsid w:val="00E23320"/>
    <w:rsid w:val="00E26808"/>
    <w:rsid w:val="00E26BBE"/>
    <w:rsid w:val="00E30183"/>
    <w:rsid w:val="00E315B9"/>
    <w:rsid w:val="00E31ED2"/>
    <w:rsid w:val="00E350EA"/>
    <w:rsid w:val="00E4189B"/>
    <w:rsid w:val="00E47005"/>
    <w:rsid w:val="00E50E56"/>
    <w:rsid w:val="00E639E6"/>
    <w:rsid w:val="00E71AEF"/>
    <w:rsid w:val="00E767B0"/>
    <w:rsid w:val="00E80220"/>
    <w:rsid w:val="00E8068F"/>
    <w:rsid w:val="00E80A13"/>
    <w:rsid w:val="00E8218C"/>
    <w:rsid w:val="00E83CBD"/>
    <w:rsid w:val="00E84B22"/>
    <w:rsid w:val="00E9186E"/>
    <w:rsid w:val="00E949CF"/>
    <w:rsid w:val="00EA0331"/>
    <w:rsid w:val="00EA5780"/>
    <w:rsid w:val="00EB3548"/>
    <w:rsid w:val="00EB7F2B"/>
    <w:rsid w:val="00EC078F"/>
    <w:rsid w:val="00ED0D6A"/>
    <w:rsid w:val="00ED30F4"/>
    <w:rsid w:val="00ED4B2E"/>
    <w:rsid w:val="00ED6128"/>
    <w:rsid w:val="00EE03BF"/>
    <w:rsid w:val="00EE1F6A"/>
    <w:rsid w:val="00EE6057"/>
    <w:rsid w:val="00F11B57"/>
    <w:rsid w:val="00F14B4B"/>
    <w:rsid w:val="00F1542D"/>
    <w:rsid w:val="00F16774"/>
    <w:rsid w:val="00F23DE5"/>
    <w:rsid w:val="00F27409"/>
    <w:rsid w:val="00F27F12"/>
    <w:rsid w:val="00F33339"/>
    <w:rsid w:val="00F35852"/>
    <w:rsid w:val="00F363DD"/>
    <w:rsid w:val="00F52DD0"/>
    <w:rsid w:val="00F54F08"/>
    <w:rsid w:val="00F65026"/>
    <w:rsid w:val="00F66294"/>
    <w:rsid w:val="00F662A5"/>
    <w:rsid w:val="00F71B3E"/>
    <w:rsid w:val="00F737E2"/>
    <w:rsid w:val="00F7569E"/>
    <w:rsid w:val="00F76952"/>
    <w:rsid w:val="00F826C2"/>
    <w:rsid w:val="00F82B42"/>
    <w:rsid w:val="00F830F2"/>
    <w:rsid w:val="00F87CB4"/>
    <w:rsid w:val="00F94302"/>
    <w:rsid w:val="00F96C08"/>
    <w:rsid w:val="00F97A8B"/>
    <w:rsid w:val="00FA43A4"/>
    <w:rsid w:val="00FB2500"/>
    <w:rsid w:val="00FB42E9"/>
    <w:rsid w:val="00FB654F"/>
    <w:rsid w:val="00FB6BD0"/>
    <w:rsid w:val="00FC3835"/>
    <w:rsid w:val="00FC4C56"/>
    <w:rsid w:val="00FC4CFE"/>
    <w:rsid w:val="00FC750E"/>
    <w:rsid w:val="00FC7A84"/>
    <w:rsid w:val="00FD157E"/>
    <w:rsid w:val="00FD5BFE"/>
    <w:rsid w:val="00FD613F"/>
    <w:rsid w:val="00FD7575"/>
    <w:rsid w:val="00FD781A"/>
    <w:rsid w:val="00FE0300"/>
    <w:rsid w:val="00FE0D21"/>
    <w:rsid w:val="00FE43B9"/>
    <w:rsid w:val="00FE6559"/>
    <w:rsid w:val="00FE6897"/>
    <w:rsid w:val="00FF2F5A"/>
    <w:rsid w:val="00FF30EC"/>
    <w:rsid w:val="00FF41C7"/>
    <w:rsid w:val="00FF6096"/>
    <w:rsid w:val="00FF616D"/>
    <w:rsid w:val="00FF6F59"/>
    <w:rsid w:val="0D043848"/>
    <w:rsid w:val="123E32B0"/>
    <w:rsid w:val="1C1F3DB3"/>
    <w:rsid w:val="264675EB"/>
    <w:rsid w:val="2ACD3296"/>
    <w:rsid w:val="32FD4CC9"/>
    <w:rsid w:val="3CCA292F"/>
    <w:rsid w:val="3DA70DDF"/>
    <w:rsid w:val="43BE1253"/>
    <w:rsid w:val="450D5E03"/>
    <w:rsid w:val="47AF6B52"/>
    <w:rsid w:val="48522A03"/>
    <w:rsid w:val="4C0E7CA1"/>
    <w:rsid w:val="4C3C25FD"/>
    <w:rsid w:val="5B863F5B"/>
    <w:rsid w:val="64861DE5"/>
    <w:rsid w:val="66B675ED"/>
    <w:rsid w:val="6AE11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0" w:name="footnote text"/>
    <w:lsdException w:qFormat="1" w:unhideWhenUsed="0"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widowControl/>
      <w:spacing w:before="340" w:after="330" w:line="578" w:lineRule="atLeast"/>
      <w:jc w:val="center"/>
      <w:outlineLvl w:val="0"/>
    </w:pPr>
    <w:rPr>
      <w:rFonts w:eastAsia="华文中宋"/>
      <w:b/>
      <w:bCs/>
      <w:kern w:val="44"/>
      <w:sz w:val="44"/>
      <w:szCs w:val="44"/>
    </w:rPr>
  </w:style>
  <w:style w:type="paragraph" w:styleId="3">
    <w:name w:val="heading 2"/>
    <w:basedOn w:val="1"/>
    <w:next w:val="1"/>
    <w:link w:val="31"/>
    <w:unhideWhenUsed/>
    <w:qFormat/>
    <w:uiPriority w:val="0"/>
    <w:pPr>
      <w:keepNext/>
      <w:keepLines/>
      <w:spacing w:before="260" w:after="260" w:line="413" w:lineRule="auto"/>
      <w:jc w:val="center"/>
      <w:outlineLvl w:val="1"/>
    </w:pPr>
    <w:rPr>
      <w:rFonts w:ascii="Arial" w:hAnsi="Arial" w:eastAsia="华文中宋"/>
      <w:b/>
      <w:sz w:val="36"/>
    </w:rPr>
  </w:style>
  <w:style w:type="paragraph" w:styleId="4">
    <w:name w:val="heading 3"/>
    <w:basedOn w:val="1"/>
    <w:next w:val="5"/>
    <w:qFormat/>
    <w:uiPriority w:val="0"/>
    <w:pPr>
      <w:tabs>
        <w:tab w:val="left" w:pos="0"/>
      </w:tabs>
      <w:adjustRightInd w:val="0"/>
      <w:spacing w:before="78" w:beforeLines="25" w:after="78" w:afterLines="25" w:line="360" w:lineRule="auto"/>
      <w:ind w:firstLine="495" w:firstLineChars="176"/>
      <w:textAlignment w:val="baseline"/>
      <w:outlineLvl w:val="2"/>
    </w:pPr>
    <w:rPr>
      <w:rFonts w:ascii="黑体" w:cs="Arial"/>
      <w:b/>
      <w:bCs/>
      <w:sz w:val="28"/>
      <w:szCs w:val="28"/>
      <w:lang w:bidi="he-IL"/>
    </w:rPr>
  </w:style>
  <w:style w:type="paragraph" w:styleId="6">
    <w:name w:val="heading 4"/>
    <w:basedOn w:val="1"/>
    <w:next w:val="1"/>
    <w:link w:val="3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rPr>
      <w:rFonts w:ascii="Times New Roman" w:hAnsi="Times New Roman" w:cs="Times New Roman"/>
    </w:rPr>
  </w:style>
  <w:style w:type="paragraph" w:styleId="7">
    <w:name w:val="toc 7"/>
    <w:basedOn w:val="1"/>
    <w:next w:val="1"/>
    <w:unhideWhenUsed/>
    <w:qFormat/>
    <w:uiPriority w:val="39"/>
    <w:pPr>
      <w:ind w:left="2520" w:leftChars="1200"/>
    </w:pPr>
  </w:style>
  <w:style w:type="paragraph" w:styleId="8">
    <w:name w:val="annotation text"/>
    <w:basedOn w:val="1"/>
    <w:link w:val="33"/>
    <w:semiHidden/>
    <w:qFormat/>
    <w:uiPriority w:val="0"/>
    <w:pPr>
      <w:jc w:val="left"/>
    </w:pPr>
  </w:style>
  <w:style w:type="paragraph" w:styleId="9">
    <w:name w:val="Body Text"/>
    <w:basedOn w:val="1"/>
    <w:unhideWhenUsed/>
    <w:qFormat/>
    <w:uiPriority w:val="99"/>
    <w:pPr>
      <w:spacing w:after="120"/>
    </w:pPr>
  </w:style>
  <w:style w:type="paragraph" w:styleId="10">
    <w:name w:val="Body Text Indent"/>
    <w:basedOn w:val="1"/>
    <w:unhideWhenUsed/>
    <w:qFormat/>
    <w:uiPriority w:val="0"/>
    <w:pPr>
      <w:widowControl/>
      <w:ind w:firstLine="560" w:firstLineChars="200"/>
      <w:jc w:val="left"/>
    </w:pPr>
    <w:rPr>
      <w:rFonts w:ascii="Times New Roman" w:hAnsi="Times New Roman" w:eastAsia="宋体" w:cs="Times New Roman"/>
      <w:sz w:val="28"/>
      <w:szCs w:val="24"/>
    </w:rPr>
  </w:style>
  <w:style w:type="paragraph" w:styleId="11">
    <w:name w:val="toc 5"/>
    <w:basedOn w:val="1"/>
    <w:next w:val="1"/>
    <w:unhideWhenUsed/>
    <w:qFormat/>
    <w:uiPriority w:val="39"/>
    <w:pPr>
      <w:ind w:left="1680" w:leftChars="800"/>
    </w:pPr>
  </w:style>
  <w:style w:type="paragraph" w:styleId="12">
    <w:name w:val="toc 3"/>
    <w:basedOn w:val="1"/>
    <w:next w:val="1"/>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43"/>
    <w:qFormat/>
    <w:uiPriority w:val="0"/>
    <w:rPr>
      <w:sz w:val="18"/>
      <w:szCs w:val="18"/>
    </w:rPr>
  </w:style>
  <w:style w:type="paragraph" w:styleId="15">
    <w:name w:val="footer"/>
    <w:basedOn w:val="1"/>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Body Text Indent 3"/>
    <w:basedOn w:val="1"/>
    <w:semiHidden/>
    <w:unhideWhenUsed/>
    <w:qFormat/>
    <w:uiPriority w:val="0"/>
    <w:pPr>
      <w:spacing w:after="120"/>
      <w:ind w:left="420" w:leftChars="200"/>
    </w:pPr>
    <w:rPr>
      <w:rFonts w:ascii="Times New Roman" w:hAnsi="Times New Roman" w:eastAsia="宋体" w:cs="Times New Roman"/>
      <w:sz w:val="16"/>
      <w:szCs w:val="16"/>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Normal (Web)"/>
    <w:basedOn w:val="1"/>
    <w:qFormat/>
    <w:uiPriority w:val="0"/>
    <w:pPr>
      <w:spacing w:before="100" w:beforeAutospacing="1" w:after="100" w:afterAutospacing="1"/>
      <w:jc w:val="left"/>
    </w:pPr>
    <w:rPr>
      <w:rFonts w:cs="Times New Roman"/>
      <w:kern w:val="0"/>
      <w:sz w:val="24"/>
    </w:rPr>
  </w:style>
  <w:style w:type="paragraph" w:styleId="24">
    <w:name w:val="Title"/>
    <w:basedOn w:val="1"/>
    <w:next w:val="1"/>
    <w:qFormat/>
    <w:uiPriority w:val="10"/>
    <w:pPr>
      <w:spacing w:before="240" w:after="60"/>
      <w:jc w:val="center"/>
      <w:outlineLvl w:val="0"/>
    </w:pPr>
    <w:rPr>
      <w:rFonts w:eastAsia="华文中宋" w:asciiTheme="majorHAnsi" w:hAnsiTheme="majorHAnsi" w:cstheme="majorBidi"/>
      <w:b/>
      <w:bCs/>
      <w:sz w:val="52"/>
      <w:szCs w:val="32"/>
    </w:rPr>
  </w:style>
  <w:style w:type="character" w:styleId="27">
    <w:name w:val="FollowedHyperlink"/>
    <w:basedOn w:val="26"/>
    <w:semiHidden/>
    <w:unhideWhenUsed/>
    <w:qFormat/>
    <w:uiPriority w:val="99"/>
    <w:rPr>
      <w:color w:val="800080"/>
      <w:u w:val="single"/>
    </w:rPr>
  </w:style>
  <w:style w:type="character" w:styleId="28">
    <w:name w:val="Hyperlink"/>
    <w:basedOn w:val="26"/>
    <w:unhideWhenUsed/>
    <w:qFormat/>
    <w:uiPriority w:val="99"/>
    <w:rPr>
      <w:color w:val="0000FF"/>
      <w:u w:val="single"/>
    </w:rPr>
  </w:style>
  <w:style w:type="character" w:styleId="29">
    <w:name w:val="annotation reference"/>
    <w:basedOn w:val="26"/>
    <w:semiHidden/>
    <w:unhideWhenUsed/>
    <w:qFormat/>
    <w:uiPriority w:val="0"/>
    <w:rPr>
      <w:sz w:val="21"/>
      <w:szCs w:val="21"/>
    </w:rPr>
  </w:style>
  <w:style w:type="character" w:customStyle="1" w:styleId="30">
    <w:name w:val="标题 1 Char"/>
    <w:link w:val="2"/>
    <w:qFormat/>
    <w:uiPriority w:val="9"/>
    <w:rPr>
      <w:rFonts w:eastAsia="华文中宋" w:asciiTheme="minorHAnsi" w:hAnsiTheme="minorHAnsi"/>
      <w:b/>
      <w:bCs/>
      <w:kern w:val="44"/>
      <w:sz w:val="44"/>
      <w:szCs w:val="44"/>
    </w:rPr>
  </w:style>
  <w:style w:type="character" w:customStyle="1" w:styleId="31">
    <w:name w:val="标题 2 Char"/>
    <w:link w:val="3"/>
    <w:qFormat/>
    <w:uiPriority w:val="0"/>
    <w:rPr>
      <w:rFonts w:ascii="Arial" w:hAnsi="Arial" w:eastAsia="华文中宋"/>
      <w:b/>
      <w:sz w:val="36"/>
    </w:rPr>
  </w:style>
  <w:style w:type="character" w:customStyle="1" w:styleId="32">
    <w:name w:val="标题 4 Char"/>
    <w:basedOn w:val="26"/>
    <w:link w:val="6"/>
    <w:semiHidden/>
    <w:qFormat/>
    <w:uiPriority w:val="0"/>
    <w:rPr>
      <w:rFonts w:asciiTheme="majorHAnsi" w:hAnsiTheme="majorHAnsi" w:eastAsiaTheme="majorEastAsia" w:cstheme="majorBidi"/>
      <w:b/>
      <w:bCs/>
      <w:kern w:val="2"/>
      <w:sz w:val="28"/>
      <w:szCs w:val="28"/>
    </w:rPr>
  </w:style>
  <w:style w:type="character" w:customStyle="1" w:styleId="33">
    <w:name w:val="批注文字 Char"/>
    <w:basedOn w:val="26"/>
    <w:link w:val="8"/>
    <w:semiHidden/>
    <w:qFormat/>
    <w:uiPriority w:val="0"/>
    <w:rPr>
      <w:kern w:val="2"/>
      <w:sz w:val="21"/>
      <w:szCs w:val="22"/>
    </w:rPr>
  </w:style>
  <w:style w:type="table" w:customStyle="1" w:styleId="3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35">
    <w:name w:val="Table Normal1"/>
    <w:semiHidden/>
    <w:qFormat/>
    <w:uiPriority w:val="2"/>
    <w:pPr>
      <w:widowControl w:val="0"/>
      <w:autoSpaceDE w:val="0"/>
      <w:autoSpaceDN w:val="0"/>
    </w:pPr>
    <w:rPr>
      <w:rFonts w:ascii="Calibri" w:hAnsi="Calibri" w:eastAsia="Times New Roman" w:cs="Arial"/>
      <w:sz w:val="22"/>
      <w:lang w:eastAsia="en-US"/>
    </w:rPr>
    <w:tblPr>
      <w:tblCellMar>
        <w:top w:w="0" w:type="dxa"/>
        <w:left w:w="0" w:type="dxa"/>
        <w:bottom w:w="0" w:type="dxa"/>
        <w:right w:w="0" w:type="dxa"/>
      </w:tblCellMar>
    </w:tblPr>
  </w:style>
  <w:style w:type="character" w:customStyle="1" w:styleId="36">
    <w:name w:val="font81"/>
    <w:basedOn w:val="26"/>
    <w:qFormat/>
    <w:uiPriority w:val="0"/>
    <w:rPr>
      <w:rFonts w:ascii="MS Gothic" w:hAnsi="MS Gothic" w:eastAsia="MS Gothic" w:cs="MS Gothic"/>
      <w:color w:val="000000"/>
      <w:sz w:val="22"/>
      <w:szCs w:val="22"/>
      <w:u w:val="none"/>
    </w:rPr>
  </w:style>
  <w:style w:type="character" w:customStyle="1" w:styleId="37">
    <w:name w:val="font01"/>
    <w:basedOn w:val="26"/>
    <w:qFormat/>
    <w:uiPriority w:val="0"/>
    <w:rPr>
      <w:rFonts w:hint="eastAsia" w:ascii="仿宋" w:hAnsi="仿宋" w:eastAsia="仿宋" w:cs="仿宋"/>
      <w:b/>
      <w:bCs/>
      <w:color w:val="000000"/>
      <w:sz w:val="22"/>
      <w:szCs w:val="22"/>
      <w:u w:val="none"/>
    </w:rPr>
  </w:style>
  <w:style w:type="character" w:customStyle="1" w:styleId="38">
    <w:name w:val="font191"/>
    <w:basedOn w:val="26"/>
    <w:qFormat/>
    <w:uiPriority w:val="0"/>
    <w:rPr>
      <w:rFonts w:hint="default" w:ascii="Times New Roman" w:hAnsi="Times New Roman" w:cs="Times New Roman"/>
      <w:b/>
      <w:bCs/>
      <w:color w:val="000000"/>
      <w:sz w:val="24"/>
      <w:szCs w:val="24"/>
      <w:u w:val="none"/>
    </w:rPr>
  </w:style>
  <w:style w:type="paragraph" w:styleId="39">
    <w:name w:val="List Paragraph"/>
    <w:basedOn w:val="1"/>
    <w:qFormat/>
    <w:uiPriority w:val="34"/>
    <w:pPr>
      <w:ind w:firstLine="420" w:firstLineChars="200"/>
    </w:pPr>
    <w:rPr>
      <w:rFonts w:ascii="Calibri" w:hAnsi="Calibri" w:eastAsia="宋体" w:cs="Times New Roman"/>
    </w:rPr>
  </w:style>
  <w:style w:type="paragraph" w:customStyle="1" w:styleId="40">
    <w:name w:val="1"/>
    <w:basedOn w:val="1"/>
    <w:qFormat/>
    <w:uiPriority w:val="0"/>
    <w:pPr>
      <w:jc w:val="center"/>
    </w:pPr>
    <w:rPr>
      <w:rFonts w:hint="eastAsia" w:ascii="华文中宋" w:hAnsi="华文中宋" w:eastAsia="华文中宋" w:cs="宋体"/>
      <w:b/>
      <w:color w:val="333333"/>
      <w:kern w:val="0"/>
      <w:sz w:val="84"/>
      <w:szCs w:val="52"/>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2">
    <w:name w:val="未处理的提及1"/>
    <w:basedOn w:val="26"/>
    <w:semiHidden/>
    <w:unhideWhenUsed/>
    <w:qFormat/>
    <w:uiPriority w:val="99"/>
    <w:rPr>
      <w:color w:val="605E5C"/>
      <w:shd w:val="clear" w:color="auto" w:fill="E1DFDD"/>
    </w:rPr>
  </w:style>
  <w:style w:type="character" w:customStyle="1" w:styleId="43">
    <w:name w:val="批注框文本 Char"/>
    <w:basedOn w:val="26"/>
    <w:link w:val="14"/>
    <w:qFormat/>
    <w:uiPriority w:val="0"/>
    <w:rPr>
      <w:kern w:val="2"/>
      <w:sz w:val="18"/>
      <w:szCs w:val="18"/>
    </w:rPr>
  </w:style>
  <w:style w:type="character" w:customStyle="1" w:styleId="44">
    <w:name w:val="未处理的提及2"/>
    <w:basedOn w:val="26"/>
    <w:semiHidden/>
    <w:unhideWhenUsed/>
    <w:qFormat/>
    <w:uiPriority w:val="99"/>
    <w:rPr>
      <w:color w:val="605E5C"/>
      <w:shd w:val="clear" w:color="auto" w:fill="E1DFDD"/>
    </w:rPr>
  </w:style>
  <w:style w:type="paragraph" w:customStyle="1" w:styleId="4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font5"/>
    <w:basedOn w:val="1"/>
    <w:qFormat/>
    <w:uiPriority w:val="0"/>
    <w:pPr>
      <w:widowControl/>
      <w:spacing w:before="100" w:beforeAutospacing="1" w:after="100" w:afterAutospacing="1"/>
      <w:jc w:val="left"/>
    </w:pPr>
    <w:rPr>
      <w:rFonts w:ascii="仿宋_GB2312" w:hAnsi="宋体" w:eastAsia="仿宋_GB2312" w:cs="宋体"/>
      <w:b/>
      <w:bCs/>
      <w:kern w:val="0"/>
      <w:sz w:val="24"/>
      <w:szCs w:val="24"/>
    </w:rPr>
  </w:style>
  <w:style w:type="paragraph" w:customStyle="1" w:styleId="47">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48">
    <w:name w:val="font7"/>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49">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50">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1">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7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xl71"/>
    <w:basedOn w:val="1"/>
    <w:qFormat/>
    <w:uiPriority w:val="0"/>
    <w:pPr>
      <w:widowControl/>
      <w:spacing w:before="100" w:beforeAutospacing="1" w:after="100" w:afterAutospacing="1"/>
    </w:pPr>
    <w:rPr>
      <w:rFonts w:ascii="仿宋_GB2312" w:hAnsi="宋体" w:eastAsia="仿宋_GB2312" w:cs="宋体"/>
      <w:kern w:val="0"/>
      <w:sz w:val="24"/>
      <w:szCs w:val="24"/>
    </w:rPr>
  </w:style>
  <w:style w:type="paragraph" w:customStyle="1" w:styleId="54">
    <w:name w:val="xl72"/>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55">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xl7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xl75"/>
    <w:basedOn w:val="1"/>
    <w:qFormat/>
    <w:uiPriority w:val="0"/>
    <w:pPr>
      <w:widowControl/>
      <w:shd w:val="clear" w:color="000000" w:fill="FFFFFF"/>
      <w:spacing w:before="100" w:beforeAutospacing="1" w:after="100" w:afterAutospacing="1"/>
    </w:pPr>
    <w:rPr>
      <w:rFonts w:ascii="仿宋_GB2312" w:hAnsi="宋体" w:eastAsia="仿宋_GB2312" w:cs="宋体"/>
      <w:kern w:val="0"/>
      <w:sz w:val="24"/>
      <w:szCs w:val="24"/>
    </w:rPr>
  </w:style>
  <w:style w:type="paragraph" w:customStyle="1" w:styleId="58">
    <w:name w:val="xl7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9">
    <w:name w:val="xl77"/>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60">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2">
    <w:name w:val="xl8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4">
    <w:name w:val="xl82"/>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0"/>
      <w:szCs w:val="20"/>
    </w:rPr>
  </w:style>
  <w:style w:type="paragraph" w:customStyle="1" w:styleId="6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6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b/>
      <w:bCs/>
      <w:kern w:val="0"/>
      <w:sz w:val="24"/>
      <w:szCs w:val="24"/>
    </w:rPr>
  </w:style>
  <w:style w:type="paragraph" w:customStyle="1" w:styleId="68">
    <w:name w:val="xl86"/>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69">
    <w:name w:val="xl87"/>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_GB2312" w:hAnsi="宋体" w:eastAsia="仿宋_GB2312" w:cs="宋体"/>
      <w:kern w:val="0"/>
      <w:sz w:val="24"/>
      <w:szCs w:val="24"/>
    </w:rPr>
  </w:style>
  <w:style w:type="paragraph" w:customStyle="1" w:styleId="70">
    <w:name w:val="xl88"/>
    <w:basedOn w:val="1"/>
    <w:qFormat/>
    <w:uiPriority w:val="0"/>
    <w:pPr>
      <w:widowControl/>
      <w:pBdr>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0"/>
      <w:szCs w:val="20"/>
    </w:rPr>
  </w:style>
  <w:style w:type="paragraph" w:customStyle="1" w:styleId="7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Times New Roman" w:hAnsi="Times New Roman" w:eastAsia="宋体" w:cs="Times New Roman"/>
      <w:kern w:val="0"/>
      <w:sz w:val="20"/>
      <w:szCs w:val="20"/>
    </w:rPr>
  </w:style>
  <w:style w:type="paragraph" w:customStyle="1" w:styleId="7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7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 w:hAnsi="仿宋" w:eastAsia="仿宋" w:cs="宋体"/>
      <w:kern w:val="0"/>
      <w:sz w:val="24"/>
      <w:szCs w:val="24"/>
    </w:rPr>
  </w:style>
  <w:style w:type="paragraph" w:customStyle="1" w:styleId="7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color w:val="0000FF"/>
      <w:kern w:val="0"/>
      <w:sz w:val="24"/>
      <w:szCs w:val="24"/>
      <w:u w:val="single"/>
    </w:rPr>
  </w:style>
  <w:style w:type="paragraph" w:customStyle="1" w:styleId="7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76">
    <w:name w:val="xl94"/>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7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color w:val="0000FF"/>
      <w:kern w:val="0"/>
      <w:sz w:val="24"/>
      <w:szCs w:val="24"/>
      <w:u w:val="single"/>
    </w:rPr>
  </w:style>
  <w:style w:type="paragraph" w:customStyle="1" w:styleId="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8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2">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FF"/>
      <w:kern w:val="0"/>
      <w:sz w:val="24"/>
      <w:szCs w:val="24"/>
      <w:u w:val="single"/>
    </w:rPr>
  </w:style>
  <w:style w:type="paragraph" w:customStyle="1" w:styleId="83">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8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86">
    <w:name w:val="xl10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FF"/>
      <w:kern w:val="0"/>
      <w:sz w:val="24"/>
      <w:szCs w:val="24"/>
      <w:u w:val="single"/>
    </w:rPr>
  </w:style>
  <w:style w:type="paragraph" w:customStyle="1" w:styleId="87">
    <w:name w:val="xl10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FF"/>
      <w:kern w:val="0"/>
      <w:sz w:val="24"/>
      <w:szCs w:val="24"/>
      <w:u w:val="single"/>
    </w:rPr>
  </w:style>
  <w:style w:type="paragraph" w:customStyle="1" w:styleId="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eastAsia="宋体" w:cs="宋体"/>
      <w:color w:val="0000FF"/>
      <w:kern w:val="0"/>
      <w:sz w:val="24"/>
      <w:szCs w:val="24"/>
      <w:u w:val="single"/>
    </w:rPr>
  </w:style>
  <w:style w:type="paragraph" w:customStyle="1" w:styleId="90">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91">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FF"/>
      <w:kern w:val="0"/>
      <w:sz w:val="24"/>
      <w:szCs w:val="24"/>
      <w:u w:val="single"/>
    </w:rPr>
  </w:style>
  <w:style w:type="paragraph" w:customStyle="1" w:styleId="92">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93">
    <w:name w:val="xl111"/>
    <w:basedOn w:val="1"/>
    <w:qFormat/>
    <w:uiPriority w:val="0"/>
    <w:pPr>
      <w:widowControl/>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94">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9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FF"/>
      <w:kern w:val="0"/>
      <w:sz w:val="24"/>
      <w:szCs w:val="24"/>
      <w:u w:val="single"/>
    </w:rPr>
  </w:style>
  <w:style w:type="paragraph" w:customStyle="1" w:styleId="9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98">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仿宋" w:hAnsi="仿宋" w:eastAsia="仿宋" w:cs="宋体"/>
      <w:kern w:val="0"/>
      <w:sz w:val="24"/>
      <w:szCs w:val="24"/>
    </w:rPr>
  </w:style>
  <w:style w:type="paragraph" w:customStyle="1" w:styleId="9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100">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 w:hAnsi="仿宋" w:eastAsia="仿宋" w:cs="宋体"/>
      <w:kern w:val="0"/>
      <w:sz w:val="24"/>
      <w:szCs w:val="24"/>
    </w:rPr>
  </w:style>
  <w:style w:type="paragraph" w:customStyle="1" w:styleId="101">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仿宋" w:hAnsi="仿宋" w:eastAsia="仿宋" w:cs="宋体"/>
      <w:kern w:val="0"/>
      <w:sz w:val="24"/>
      <w:szCs w:val="24"/>
    </w:rPr>
  </w:style>
  <w:style w:type="paragraph" w:customStyle="1" w:styleId="10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1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_GB2312" w:hAnsi="宋体" w:eastAsia="仿宋_GB2312" w:cs="宋体"/>
      <w:kern w:val="0"/>
      <w:sz w:val="24"/>
      <w:szCs w:val="24"/>
    </w:rPr>
  </w:style>
  <w:style w:type="paragraph" w:customStyle="1" w:styleId="104">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_GB2312" w:hAnsi="宋体" w:eastAsia="仿宋_GB2312" w:cs="宋体"/>
      <w:kern w:val="0"/>
      <w:sz w:val="24"/>
      <w:szCs w:val="24"/>
    </w:rPr>
  </w:style>
  <w:style w:type="paragraph" w:customStyle="1" w:styleId="1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 w:hAnsi="仿宋" w:eastAsia="仿宋" w:cs="宋体"/>
      <w:color w:val="000000"/>
      <w:kern w:val="0"/>
      <w:sz w:val="24"/>
      <w:szCs w:val="24"/>
    </w:rPr>
  </w:style>
  <w:style w:type="paragraph" w:customStyle="1" w:styleId="106">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_GB2312" w:hAnsi="宋体" w:eastAsia="仿宋_GB2312" w:cs="宋体"/>
      <w:kern w:val="0"/>
      <w:sz w:val="24"/>
      <w:szCs w:val="24"/>
    </w:rPr>
  </w:style>
  <w:style w:type="paragraph" w:customStyle="1" w:styleId="107">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0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1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111">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2">
    <w:name w:val="xl13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3">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14">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FF"/>
      <w:kern w:val="0"/>
      <w:sz w:val="24"/>
      <w:szCs w:val="24"/>
      <w:u w:val="single"/>
    </w:rPr>
  </w:style>
  <w:style w:type="paragraph" w:customStyle="1" w:styleId="115">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16">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17">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b/>
      <w:bCs/>
      <w:kern w:val="0"/>
      <w:sz w:val="24"/>
      <w:szCs w:val="24"/>
    </w:rPr>
  </w:style>
  <w:style w:type="paragraph" w:customStyle="1" w:styleId="118">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4"/>
      <w:szCs w:val="24"/>
    </w:rPr>
  </w:style>
  <w:style w:type="paragraph" w:customStyle="1" w:styleId="1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4"/>
      <w:szCs w:val="24"/>
    </w:rPr>
  </w:style>
  <w:style w:type="paragraph" w:customStyle="1" w:styleId="12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122">
    <w:name w:val="xl140"/>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23">
    <w:name w:val="xl141"/>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124">
    <w:name w:val="xl142"/>
    <w:basedOn w:val="1"/>
    <w:qFormat/>
    <w:uiPriority w:val="0"/>
    <w:pPr>
      <w:widowControl/>
      <w:pBdr>
        <w:top w:val="single" w:color="auto" w:sz="4" w:space="0"/>
        <w:lef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5">
    <w:name w:val="xl143"/>
    <w:basedOn w:val="1"/>
    <w:qFormat/>
    <w:uiPriority w:val="0"/>
    <w:pPr>
      <w:widowControl/>
      <w:pBdr>
        <w:top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6">
    <w:name w:val="xl144"/>
    <w:basedOn w:val="1"/>
    <w:qFormat/>
    <w:uiPriority w:val="0"/>
    <w:pPr>
      <w:widowControl/>
      <w:pBdr>
        <w:top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7">
    <w:name w:val="xl145"/>
    <w:basedOn w:val="1"/>
    <w:uiPriority w:val="0"/>
    <w:pPr>
      <w:widowControl/>
      <w:pBdr>
        <w:lef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8">
    <w:name w:val="xl146"/>
    <w:basedOn w:val="1"/>
    <w:uiPriority w:val="0"/>
    <w:pPr>
      <w:widowControl/>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9">
    <w:name w:val="xl147"/>
    <w:basedOn w:val="1"/>
    <w:qFormat/>
    <w:uiPriority w:val="0"/>
    <w:pPr>
      <w:widowControl/>
      <w:pBdr>
        <w:righ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0">
    <w:name w:val="xl148"/>
    <w:basedOn w:val="1"/>
    <w:qFormat/>
    <w:uiPriority w:val="0"/>
    <w:pPr>
      <w:widowControl/>
      <w:pBdr>
        <w:left w:val="single" w:color="auto" w:sz="4" w:space="0"/>
        <w:bottom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1">
    <w:name w:val="xl149"/>
    <w:basedOn w:val="1"/>
    <w:qFormat/>
    <w:uiPriority w:val="0"/>
    <w:pPr>
      <w:widowControl/>
      <w:pBdr>
        <w:bottom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2">
    <w:name w:val="xl150"/>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3">
    <w:name w:val="xl151"/>
    <w:basedOn w:val="1"/>
    <w:uiPriority w:val="0"/>
    <w:pPr>
      <w:widowControl/>
      <w:spacing w:before="100" w:beforeAutospacing="1" w:after="100" w:afterAutospacing="1"/>
      <w:jc w:val="left"/>
    </w:pPr>
    <w:rPr>
      <w:rFonts w:ascii="仿宋_GB2312" w:hAnsi="宋体" w:eastAsia="仿宋_GB2312" w:cs="宋体"/>
      <w:b/>
      <w:bCs/>
      <w:kern w:val="0"/>
      <w:sz w:val="24"/>
      <w:szCs w:val="24"/>
    </w:rPr>
  </w:style>
  <w:style w:type="paragraph" w:customStyle="1" w:styleId="13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35">
    <w:name w:val="xl153"/>
    <w:basedOn w:val="1"/>
    <w:uiPriority w:val="0"/>
    <w:pPr>
      <w:widowControl/>
      <w:pBdr>
        <w:top w:val="single" w:color="auto" w:sz="4" w:space="0"/>
        <w:left w:val="single" w:color="auto" w:sz="4" w:space="0"/>
        <w:bottom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6">
    <w:name w:val="xl154"/>
    <w:basedOn w:val="1"/>
    <w:qFormat/>
    <w:uiPriority w:val="0"/>
    <w:pPr>
      <w:widowControl/>
      <w:pBdr>
        <w:top w:val="single" w:color="auto" w:sz="4" w:space="0"/>
        <w:bottom w:val="single" w:color="auto" w:sz="4" w:space="0"/>
        <w:right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7">
    <w:name w:val="xl155"/>
    <w:basedOn w:val="1"/>
    <w:qFormat/>
    <w:uiPriority w:val="0"/>
    <w:pPr>
      <w:widowControl/>
      <w:pBdr>
        <w:top w:val="single" w:color="auto" w:sz="4" w:space="0"/>
        <w:left w:val="single" w:color="auto" w:sz="4" w:space="0"/>
        <w:bottom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8">
    <w:name w:val="xl156"/>
    <w:basedOn w:val="1"/>
    <w:qFormat/>
    <w:uiPriority w:val="0"/>
    <w:pPr>
      <w:widowControl/>
      <w:pBdr>
        <w:top w:val="single" w:color="auto" w:sz="4" w:space="0"/>
        <w:bottom w:val="single" w:color="auto" w:sz="4" w:space="0"/>
        <w:right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9">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仿宋" w:hAnsi="仿宋" w:eastAsia="仿宋" w:cs="宋体"/>
      <w:kern w:val="0"/>
      <w:sz w:val="24"/>
      <w:szCs w:val="24"/>
    </w:rPr>
  </w:style>
  <w:style w:type="paragraph" w:customStyle="1" w:styleId="140">
    <w:name w:val="xl158"/>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仿宋" w:hAnsi="仿宋" w:eastAsia="仿宋" w:cs="宋体"/>
      <w:kern w:val="0"/>
      <w:sz w:val="24"/>
      <w:szCs w:val="24"/>
    </w:rPr>
  </w:style>
  <w:style w:type="paragraph" w:customStyle="1" w:styleId="141">
    <w:name w:val="xl15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szCs w:val="24"/>
    </w:rPr>
  </w:style>
  <w:style w:type="paragraph" w:customStyle="1" w:styleId="14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8"/>
      <w:szCs w:val="28"/>
    </w:rPr>
  </w:style>
  <w:style w:type="paragraph" w:customStyle="1" w:styleId="143">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szCs w:val="24"/>
    </w:rPr>
  </w:style>
  <w:style w:type="paragraph" w:customStyle="1" w:styleId="144">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8"/>
      <w:szCs w:val="28"/>
    </w:rPr>
  </w:style>
  <w:style w:type="paragraph" w:customStyle="1" w:styleId="14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6">
    <w:name w:val="未处理的提及3"/>
    <w:basedOn w:val="26"/>
    <w:semiHidden/>
    <w:unhideWhenUsed/>
    <w:qFormat/>
    <w:uiPriority w:val="99"/>
    <w:rPr>
      <w:color w:val="605E5C"/>
      <w:shd w:val="clear" w:color="auto" w:fill="E1DFDD"/>
    </w:rPr>
  </w:style>
  <w:style w:type="character" w:customStyle="1" w:styleId="147">
    <w:name w:val="未处理的提及4"/>
    <w:basedOn w:val="26"/>
    <w:semiHidden/>
    <w:unhideWhenUsed/>
    <w:qFormat/>
    <w:uiPriority w:val="99"/>
    <w:rPr>
      <w:color w:val="605E5C"/>
      <w:shd w:val="clear" w:color="auto" w:fill="E1DFDD"/>
    </w:rPr>
  </w:style>
  <w:style w:type="character" w:customStyle="1" w:styleId="148">
    <w:name w:val="未处理的提及5"/>
    <w:basedOn w:val="26"/>
    <w:semiHidden/>
    <w:unhideWhenUsed/>
    <w:qFormat/>
    <w:uiPriority w:val="99"/>
    <w:rPr>
      <w:color w:val="605E5C"/>
      <w:shd w:val="clear" w:color="auto" w:fill="E1DFDD"/>
    </w:rPr>
  </w:style>
  <w:style w:type="character" w:customStyle="1" w:styleId="149">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38C8B-0A97-4CEE-8B51-3882EE10090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49</Pages>
  <Words>17871</Words>
  <Characters>18157</Characters>
  <Lines>4502</Lines>
  <Paragraphs>7167</Paragraphs>
  <TotalTime>24</TotalTime>
  <ScaleCrop>false</ScaleCrop>
  <LinksUpToDate>false</LinksUpToDate>
  <CharactersWithSpaces>19960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2022-06-27T08:25:00Z</dcterms:created>
  <dc:creator>Administrator</dc:creator>
  <cp:lastModifiedBy>庄容</cp:lastModifiedBy>
  <cp:lastPrinted>2021-04-26T12:42:00Z</cp:lastPrinted>
  <dcterms:modified xsi:type="dcterms:W3CDTF">2022-08-30T09:13:35Z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8C38F158EBCE488B9A89C8814882E07C</vt:lpwstr>
  </property>
</Properties>
</file>